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caps w:val="false"/>
          <w:smallCaps w:val="false"/>
          <w:bdr w:val="single" w:sz="16" w:space="1" w:color="000000"/>
        </w:rPr>
      </w:pPr>
      <w:bookmarkStart w:id="0" w:name="tm2624881d6_8k.htm"/>
      <w:bookmarkStart w:id="1" w:name="kstm2624881d6_8k"/>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179830" cy="269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9830" cy="269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ENBRIDGE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360"/>
        <w:gridCol w:w="119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Canada</w:t>
            </w:r>
          </w:p>
        </w:tc>
        <w:tc>
          <w:tcPr>
            <w:tcW w:w="11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09"/>
            <w:bookmarkEnd w:id="6"/>
            <w:r>
              <w:rPr>
                <w:rFonts w:ascii="Times New Roman;Times;Serif" w:hAnsi="Times New Roman;Times;Serif"/>
                <w:b/>
                <w:i w:val="false"/>
                <w:caps w:val="false"/>
                <w:smallCaps w:val="false"/>
                <w:sz w:val="20"/>
              </w:rPr>
              <w:t>001-15254</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98-0377957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200, </w:t>
      </w:r>
      <w:bookmarkStart w:id="9" w:name="xdx_90B_edei--EntityAddressAddressLine2_"/>
      <w:bookmarkEnd w:id="9"/>
      <w:r>
        <w:rPr>
          <w:rFonts w:ascii="Times New Roman;Times;Serif" w:hAnsi="Times New Roman;Times;Serif"/>
          <w:b/>
          <w:i w:val="false"/>
          <w:caps w:val="false"/>
          <w:smallCaps w:val="false"/>
          <w:sz w:val="20"/>
        </w:rPr>
        <w:t>425 - 1st Street S.W.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Calgary, </w:t>
      </w:r>
      <w:bookmarkStart w:id="11" w:name="xdx_904_edei--EntityAddressStateOrProvin"/>
      <w:bookmarkEnd w:id="11"/>
      <w:r>
        <w:rPr>
          <w:rFonts w:ascii="Times New Roman;Times;Serif" w:hAnsi="Times New Roman;Times;Serif"/>
          <w:b/>
          <w:i w:val="false"/>
          <w:caps w:val="false"/>
          <w:smallCaps w:val="false"/>
          <w:sz w:val="20"/>
        </w:rPr>
        <w:t xml:space="preserve">Alberta, </w:t>
      </w:r>
      <w:bookmarkStart w:id="12" w:name="xdx_903_edei--EntityAddressCountry_dxL_c"/>
      <w:bookmarkEnd w:id="12"/>
      <w:r>
        <w:rPr>
          <w:rFonts w:ascii="Times New Roman;Times;Serif" w:hAnsi="Times New Roman;Times;Serif"/>
          <w:b/>
          <w:i w:val="false"/>
          <w:caps w:val="false"/>
          <w:smallCaps w:val="false"/>
          <w:sz w:val="20"/>
        </w:rPr>
        <w:t>Canada</w:t>
      </w:r>
      <w:r>
        <w:rPr>
          <w:rFonts w:ascii="Times New Roman;Times;Serif" w:hAnsi="Times New Roman;Times;Serif"/>
          <w:b w:val="false"/>
          <w:i w:val="false"/>
          <w:caps w:val="false"/>
          <w:smallCaps w:val="false"/>
          <w:sz w:val="20"/>
        </w:rPr>
        <w:t xml:space="preserve"> </w:t>
      </w:r>
      <w:bookmarkStart w:id="13" w:name="xdx_902_edei--EntityAddressPostalZipCode"/>
      <w:bookmarkEnd w:id="13"/>
      <w:r>
        <w:rPr>
          <w:rFonts w:ascii="Times New Roman;Times;Serif" w:hAnsi="Times New Roman;Times;Serif"/>
          <w:b/>
          <w:i w:val="false"/>
          <w:caps w:val="false"/>
          <w:smallCaps w:val="false"/>
          <w:sz w:val="20"/>
        </w:rPr>
        <w:t>T2P 3L8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2_edei--CountryRegion_c20260909__2"/>
      <w:bookmarkEnd w:id="14"/>
      <w:r>
        <w:rPr>
          <w:rFonts w:ascii="Times New Roman;Times;Serif" w:hAnsi="Times New Roman;Times;Serif"/>
          <w:b/>
          <w:i w:val="false"/>
          <w:caps w:val="false"/>
          <w:smallCaps w:val="false"/>
          <w:sz w:val="20"/>
        </w:rPr>
        <w:t>1-</w:t>
      </w:r>
      <w:bookmarkStart w:id="15" w:name="xdx_906_edei--CityAreaCode_c20260909__20"/>
      <w:bookmarkEnd w:id="15"/>
      <w:r>
        <w:rPr>
          <w:rFonts w:ascii="Times New Roman;Times;Serif" w:hAnsi="Times New Roman;Times;Serif"/>
          <w:b/>
          <w:i w:val="false"/>
          <w:caps w:val="false"/>
          <w:smallCaps w:val="false"/>
          <w:sz w:val="20"/>
        </w:rPr>
        <w:t>403-</w:t>
      </w:r>
      <w:bookmarkStart w:id="16" w:name="xdx_90A_edei--LocalPhoneNumber_c20260909"/>
      <w:bookmarkEnd w:id="16"/>
      <w:r>
        <w:rPr>
          <w:rFonts w:ascii="Times New Roman;Times;Serif" w:hAnsi="Times New Roman;Times;Serif"/>
          <w:b/>
          <w:i w:val="false"/>
          <w:caps w:val="false"/>
          <w:smallCaps w:val="false"/>
          <w:sz w:val="20"/>
        </w:rPr>
        <w:t>231-3900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firstLine="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5_edei--WrittenCommunications_c202"/>
      <w:bookmarkEnd w:id="17"/>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B_edei--SolicitingMaterial_c202609"/>
      <w:bookmarkEnd w:id="18"/>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3_edei--PreCommencementTenderOffer"/>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 w:name="xdx_909_edei--PreCommencementIssuerTende"/>
      <w:bookmarkEnd w:id="20"/>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Emerging growth company  </w:t>
      </w:r>
      <w:bookmarkStart w:id="21" w:name="xdx_902_edei--EntityEmergingGrowthCompan"/>
      <w:bookmarkEnd w:id="21"/>
      <w:r>
        <w:rPr>
          <w:rFonts w:ascii="Times New Roman;Times;Serif" w:hAnsi="Times New Roman;Times;Serif"/>
          <w:b w:val="false"/>
          <w:i w:val="false"/>
          <w:caps w:val="false"/>
          <w:smallCaps w:val="false"/>
          <w:color w:val="000000"/>
          <w:sz w:val="20"/>
        </w:rPr>
        <w:t>☐</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6360" w:type="dxa"/>
        <w:jc w:val="left"/>
        <w:tblInd w:w="0" w:type="dxa"/>
        <w:tblLayout w:type="fixed"/>
        <w:tblCellMar>
          <w:top w:w="0" w:type="dxa"/>
          <w:left w:w="0" w:type="dxa"/>
          <w:bottom w:w="0" w:type="dxa"/>
          <w:right w:w="0" w:type="dxa"/>
        </w:tblCellMar>
      </w:tblPr>
      <w:tblGrid>
        <w:gridCol w:w="1805"/>
        <w:gridCol w:w="60"/>
        <w:gridCol w:w="1025"/>
        <w:gridCol w:w="60"/>
        <w:gridCol w:w="3410"/>
      </w:tblGrid>
      <w:tr>
        <w:trPr/>
        <w:tc>
          <w:tcPr>
            <w:tcW w:w="180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1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Name of each exchange on which</w:t>
              <w:br/>
              <w:t>registered</w:t>
            </w:r>
          </w:p>
        </w:tc>
      </w:tr>
      <w:tr>
        <w:trPr/>
        <w:tc>
          <w:tcPr>
            <w:tcW w:w="1805" w:type="dxa"/>
            <w:tcBorders/>
            <w:vAlign w:val="center"/>
          </w:tcPr>
          <w:p>
            <w:pPr>
              <w:pStyle w:val="TableContents"/>
              <w:bidi w:val="0"/>
              <w:spacing w:before="0" w:after="283"/>
              <w:jc w:val="center"/>
              <w:rPr>
                <w:rFonts w:ascii="Times New Roman;Times;Serif" w:hAnsi="Times New Roman;Times;Serif"/>
              </w:rPr>
            </w:pPr>
            <w:bookmarkStart w:id="22" w:name="xdx_908_edei--Security12bTitle_c20260909"/>
            <w:bookmarkEnd w:id="22"/>
            <w:r>
              <w:rPr>
                <w:rFonts w:ascii="Times New Roman;Times;Serif" w:hAnsi="Times New Roman;Times;Serif"/>
              </w:rPr>
              <w:t>Common Shares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rFonts w:ascii="Times New Roman;Times;Serif" w:hAnsi="Times New Roman;Times;Serif"/>
              </w:rPr>
            </w:pPr>
            <w:bookmarkStart w:id="23" w:name="xdx_906_edei--TradingSymbol_c20260909__2"/>
            <w:bookmarkEnd w:id="23"/>
            <w:r>
              <w:rPr>
                <w:rFonts w:ascii="Times New Roman;Times;Serif" w:hAnsi="Times New Roman;Times;Serif"/>
              </w:rPr>
              <w:t>ENB</w:t>
            </w:r>
          </w:p>
        </w:tc>
        <w:tc>
          <w:tcPr>
            <w:tcW w:w="60" w:type="dxa"/>
            <w:tcBorders/>
            <w:vAlign w:val="center"/>
          </w:tcPr>
          <w:p>
            <w:pPr>
              <w:pStyle w:val="TableContents"/>
              <w:bidi w:val="0"/>
              <w:spacing w:before="0" w:after="283"/>
              <w:jc w:val="center"/>
              <w:rPr/>
            </w:pPr>
            <w:r>
              <w:rPr/>
              <w:t> </w:t>
            </w:r>
          </w:p>
        </w:tc>
        <w:tc>
          <w:tcPr>
            <w:tcW w:w="3410" w:type="dxa"/>
            <w:tcBorders/>
            <w:vAlign w:val="center"/>
          </w:tcPr>
          <w:p>
            <w:pPr>
              <w:pStyle w:val="TableContents"/>
              <w:bidi w:val="0"/>
              <w:spacing w:before="0" w:after="283"/>
              <w:jc w:val="center"/>
              <w:rPr>
                <w:rFonts w:ascii="Times New Roman;Times;Serif" w:hAnsi="Times New Roman;Times;Serif"/>
              </w:rPr>
            </w:pPr>
            <w:bookmarkStart w:id="24" w:name="xdx_908_edei--SecurityExchangeName_c2026"/>
            <w:bookmarkEnd w:id="24"/>
            <w:r>
              <w:rPr>
                <w:rFonts w:ascii="Times New Roman;Times;Serif" w:hAnsi="Times New Roman;Times;Serif"/>
              </w:rPr>
              <w:t>New York Stock Exchange</w:t>
            </w:r>
          </w:p>
        </w:tc>
      </w:tr>
    </w:tbl>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Enbridge Inc. (“Enbridge”) issued a news release announcing that, through a wholly-owned subsidiary, it has entered into a definitive agreement to acquire Tallgrass Energy’s crude oil transportation, gathering, storage and terminaling assets. A copy of the news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this Item 7.01 in this Current Report on Form 8-K, including Exhibit 99.1, is being furnished and shall not be deemed “filed” for purposes of Section 18 of the Securities Exchange Act of 1934 (the “Exchange Act”) or otherwise subject to the liabilities under that Section and shall not be deemed to be incorporated by reference into any filing of Enbridge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pPr>
            <w:hyperlink w:anchor="tm2624881d6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4881d6_ex99-1.htm">
              <w:r>
                <w:rPr>
                  <w:rStyle w:val="InternetLink"/>
                  <w:rFonts w:ascii="Times New Roman;Times;Serif" w:hAnsi="Times New Roman;Times;Serif"/>
                  <w:sz w:val="20"/>
                </w:rPr>
                <w:t>News Release of Enbridge Inc. dated September 9, 2026*</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both historical and forward-looking statements within the meaning of Section 27A of the U.S. Securities Act of 1933, as amended, and Section 21E of the U.S. Securities Exchange Act of 1934, as amended, and forward-looking information within the meaning of Canadian securities laws (collectively, “forward-looking statements”). Forward-looking statements have been included to provide readers with information about Enbridge and its subsidiaries and affiliates, including management’s assessment of Enbridge’s and its subsidiaries’ future plans and operations. This information may not be appropriate for other purposes. Forward-looking statements are typically identified by words such as “anticipate”, “expect”, “project”, “estimate”, “forecast”, “plan”, “intend”, “target”, “believe”, “likely”, and similar words suggesting future outcomes or statements regarding an outlook. Forward-looking statements included in this Current Report on Form 8-K, including the exhibit hereto, include, but are not limited to, statements regarding the proposed acquisition of Tallgrass Energy’s crude oil transportation, gathering, storage and terminaling assets, including the anticipated timing, completion, financing and benefits of the transaction; the equity offering, including its anticipated use of proceeds; expected free cash flows, growth opportunities, operational synergies and accretion to distributable cash flow per share; the Pony Express Pipeline expansion, including its expected capacity increase and anticipated in-service date;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Enbridge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natural gas liquids (NGL), liquefied natural gas (LNG), renewable natural gas (RNG) and renewable energy; anticipated utilization of our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governmental legislation; litigation; estimated future dividends and impact of our dividend policy on our future cash flows; our credit ratings; capital project funding; hedging program; expected earnings before interest, income taxes, and depreciation and amortization (EBITDA);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Enbridge’s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conditions; and the supply of, demand for and prices of commodities and other alternative energy, including but not limited to, those risks and uncertainties disclosed in Enbridge’s other filings with Canadian and United States securities regulators. The impact of any one assumption, risk, uncertainty or factor on a particular forward-looking statement is not determinable with certainty as these are interdependent and Enbridge’s future course of action depends on management’s assessment of all information available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required by applicable law, Enbridge assumes no obligation to publicly update or revise any forward-looking statements made in this Current Report on Form 8-K or the exhibits hereto or otherwise, whether as a result of new information, future events or otherwise. All subsequent forward-looking statements, whether written or oral, attributable to Enbridge or persons acting on its behalf, are expressly qualified in their entirety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cautions that the foregoing list of important factors is not exhaustive and other factors could also adversely affect the future results of Enbridge. The forward-looking statements speak only as of the date of this Current Report on Form 8-K. When relying on Enbridge’s forward-looking statements to make decisions with respect to Enbridge, investors and others should carefully consider the foregoing factors and other uncertainties and potential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9150" w:type="dxa"/>
        <w:jc w:val="left"/>
        <w:tblInd w:w="0" w:type="dxa"/>
        <w:tblLayout w:type="fixed"/>
        <w:tblCellMar>
          <w:top w:w="0" w:type="dxa"/>
          <w:left w:w="0" w:type="dxa"/>
          <w:bottom w:w="0" w:type="dxa"/>
          <w:right w:w="0" w:type="dxa"/>
        </w:tblCellMar>
      </w:tblPr>
      <w:tblGrid>
        <w:gridCol w:w="2030"/>
        <w:gridCol w:w="320"/>
        <w:gridCol w:w="6800"/>
      </w:tblGrid>
      <w:tr>
        <w:trPr/>
        <w:tc>
          <w:tcPr>
            <w:tcW w:w="2030" w:type="dxa"/>
            <w:tcBorders/>
            <w:vAlign w:val="center"/>
          </w:tcPr>
          <w:p>
            <w:pPr>
              <w:pStyle w:val="TableContents"/>
              <w:bidi w:val="0"/>
              <w:spacing w:before="0" w:after="283"/>
              <w:jc w:val="left"/>
              <w:rPr/>
            </w:pPr>
            <w:r>
              <w:rPr/>
              <w:t> </w:t>
            </w:r>
          </w:p>
        </w:tc>
        <w:tc>
          <w:tcPr>
            <w:tcW w:w="7120" w:type="dxa"/>
            <w:gridSpan w:val="2"/>
            <w:tcBorders/>
            <w:vAlign w:val="center"/>
          </w:tcPr>
          <w:p>
            <w:pPr>
              <w:pStyle w:val="TableContents"/>
              <w:bidi w:val="0"/>
              <w:spacing w:before="0" w:after="283"/>
              <w:jc w:val="left"/>
              <w:rPr>
                <w:b/>
              </w:rPr>
            </w:pPr>
            <w:r>
              <w:rPr>
                <w:b/>
              </w:rPr>
              <w:t>ENBRIDGE INC.</w:t>
              <w:br/>
              <w:t>(Registrant)</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8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Taniguchi</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xml:space="preserve">David Taniguchi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Vice President, Legal &amp; Corporate Secretary (Duly Authorized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5" w:name="tm2624881d6_ex99-1.htm"/>
      <w:bookmarkStart w:id="26" w:name="kstm2624881d6_ex991"/>
      <w:bookmarkEnd w:id="25"/>
      <w:bookmarkEnd w:id="26"/>
      <w:r>
        <w:rPr/>
        <w:t> </w:t>
      </w:r>
      <w:r>
        <w:br w:type="page"/>
      </w:r>
    </w:p>
    <w:p>
      <w:pPr>
        <w:pStyle w:val="TextBody"/>
        <w:bidi w:val="0"/>
        <w:jc w:val="right"/>
        <w:rPr>
          <w:b/>
          <w:sz w:val="20"/>
        </w:rPr>
      </w:pPr>
      <w:r>
        <w:rPr>
          <w:b/>
          <w:sz w:val="20"/>
        </w:rPr>
        <w:t>Exhibit 99.1</w:t>
      </w:r>
    </w:p>
    <w:p>
      <w:pPr>
        <w:pStyle w:val="TextBody"/>
        <w:bidi w:val="0"/>
        <w:jc w:val="center"/>
        <w:rPr/>
      </w:pPr>
      <w:r>
        <w:rPr/>
        <w:t> </w:t>
      </w:r>
    </w:p>
    <w:p>
      <w:pPr>
        <w:pStyle w:val="TextBody"/>
        <w:bidi w:val="0"/>
        <w:jc w:val="left"/>
        <w:rPr/>
      </w:pPr>
      <w:r>
        <w:rPr/>
        <w:drawing>
          <wp:inline distT="0" distB="0" distL="0" distR="0">
            <wp:extent cx="13620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62075" cy="333375"/>
                    </a:xfrm>
                    <a:prstGeom prst="rect">
                      <a:avLst/>
                    </a:prstGeom>
                  </pic:spPr>
                </pic:pic>
              </a:graphicData>
            </a:graphic>
          </wp:inline>
        </w:drawing>
      </w: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to Acquire Tallgrass’ Crude Transportation Business, Expanding Its Leading North American Crude Oil Franchise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CALGARY, Alberta – September 9, 2026 – Enbridge Inc. (TSX: ENB) (NYSE: ENB) (“Enbridge” or the “Company”) announced today that, through a wholly-owned subsidiary, it has entered into a definitive agreement with wholly-owned subsidiaries of Tallgrass Energy, LP (“Tallgrass”) to acquire its crude oil business which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 of Pony Express Pipeline (Pony Express), a 1,050-mile, ~460 kbpd crude system connecting Rockies production to Cushing, OK with direct access to ~500 kbpd of refining capacity.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51% of Powder River Gateway system, including two crude pipelines capable of delivering a combined capacity of ~240 kbpd.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 million barrels of storage capacity across nine crude terminals connected into Pony Express, inclusive of a 60.3% non-operating interest in the Deeprock Crude Terminal in Cushing, OK.</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Stanchion Energy, a crude marketing business which drives incremental throughput and optimizes value of the other acquired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Enbridge will acquire the business for cash consideration of U.S.$2.55 billion, subject to customary closing date adjustments, which represents an estimated acquisition multiple of 10-11x forward enterprise value to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believes that U.S. crude oil production will continue to play a critical role in meeting global energy demand for decades and this transaction further positions the Company to lead this mission. Specifically, this acquisition provides Enbridge with a strategic connection between the Bakken, Powder River Basin (PRB) and Denver-Julesburg (DJ) basins through Cushing and complements Enbridge's existing Express-Platte system. The Company expects the acquired business to generate significant free cash flows, provide future growth and create opportunities for operational synergies over time across its broader liquids pipeline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strengthens Enbridge's position as North America's leading crude oil transporter and expands its footprint into the U.S. Rockies region," said Colin Gruending, Executive Vice President and President of Enbridge Liquids Pipelines. "The Pony Express system is a premier crude oil corridor connecting some of North America's most productive basins with key refining and market centers. These assets complement our broader North American footprint. As operator of Pony Express, we look forward to leveraging Enbridge's proven operational capabilities to safely and reliably serve customers across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 Express is highly contracted throughout the decade with predominantly investment grade counterparties. Available takeaway capacity from the DJ/PRB remains closely aligned with expected basin production, supporting utilization and contract renewal expectations. The acquisition includes the PXP2 growth project, an incremental U.S.$0.3 billion expansion of Pony Express expected to increase capacity to approximately 515 kbpd. PXP2 is underpinned by take-or-pay contracts, is expected to enter service in late 2027, and, upon closing of the transaction, will be added to Enbridge’s $41 billion secured growth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later in 2026, subject to receipt of customary regulatory approvals and closing conditions, including clearance from the Federal Trade Commission under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 &amp;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expects the transaction to be accretive to distributable cash flow per share in the first full year of ownership; however, given expected closing later in the year, the Company’s 2026 financial guidance is not materially impacted by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equity offering by the Company will partially fund the acquisition announced today, the acquisition of Salt Creek Midstream’s crude gathering business announced on August 26, 2026, and provide flexibility for future growth. A supplemental presentation has been posted to Enbridge's website with more details on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Enbridge’s $41 billion secured growth backlog is expected to be financed through the Company’s $10 to $11 billion of average annual growth capital investment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maintaining its financial strength and continues to target leverage of 4.5x to 5.0x Debt-to-Adjusted EBITDA while retaining strong investment grade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reaffirming its medium-term outlook of approximately 5% compound average growth in EBITDA, DCF/share and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Enbridge’s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 acted as exclusive financial advisor and Sidley Austin LLP and Sullivan &amp; Cromwell LLP acted as legal advisors on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will host a pre-recorded conference call on September 9, 2026, at 4:30 p.m. Eastern Time (2:30 p.m. Mountain Time). Members of the media and other interested parties can access the call toll free at 1-833-461-5787 (conference ID: 180 804 054). The call will be webcast live, please register at </w:t>
      </w:r>
      <w:r>
        <w:rPr>
          <w:rFonts w:ascii="Times New Roman;Times;Serif" w:hAnsi="Times New Roman;Times;Serif"/>
          <w:b w:val="false"/>
          <w:i w:val="false"/>
          <w:caps w:val="false"/>
          <w:smallCaps w:val="false"/>
          <w:sz w:val="20"/>
          <w:u w:val="single"/>
        </w:rPr>
        <w:t>https://events.q4inc.com/attendee/180804054</w:t>
      </w:r>
      <w:r>
        <w:rPr>
          <w:rFonts w:ascii="Times New Roman;Times;Serif" w:hAnsi="Times New Roman;Times;Serif"/>
          <w:b w:val="false"/>
          <w:i w:val="false"/>
          <w:caps w:val="false"/>
          <w:smallCaps w:val="false"/>
          <w:sz w:val="20"/>
        </w:rPr>
        <w:t>. A webcast replay will be available soon after the conclusion of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will include prepared remarks from the executive team. Enbridge's media and investor relations teams will be available after the call for any additional questions.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Enbridge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At Enbridge, we safely connect millions of people to the energy they rely on every day, fueling quality of life through our North American natural gas, oil and renewable power networks and our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pStyle w:val="TextBody"/>
        <w:shd w:fill="FFFFFF" w:val="clear"/>
        <w:bidi w:val="0"/>
        <w:spacing w:before="0" w:after="0"/>
        <w:ind w:left="0" w:right="0" w:hanging="0"/>
        <w:jc w:val="left"/>
        <w:rPr>
          <w:caps w:val="false"/>
          <w:smallCaps w:val="false"/>
          <w:color w:val="1A1A1A"/>
        </w:rPr>
      </w:pPr>
      <w:r>
        <w:rPr>
          <w:caps w:val="false"/>
          <w:smallCaps w:val="false"/>
          <w:color w:val="1A1A1A"/>
        </w:rPr>
        <w:t> </w:t>
      </w:r>
    </w:p>
    <w:p>
      <w:pPr>
        <w:pStyle w:val="TextBody"/>
        <w:shd w:fill="FFFFFF" w:val="clear"/>
        <w:bidi w:val="0"/>
        <w:spacing w:before="0" w:after="0"/>
        <w:ind w:left="0" w:right="0" w:hanging="0"/>
        <w:jc w:val="left"/>
        <w:rPr>
          <w:rFonts w:ascii="Times New Roman;Times;Serif" w:hAnsi="Times New Roman;Times;Serif"/>
          <w:b/>
          <w:i/>
          <w:caps w:val="false"/>
          <w:smallCaps w:val="false"/>
          <w:color w:val="1A1A1A"/>
          <w:sz w:val="20"/>
        </w:rPr>
      </w:pPr>
      <w:r>
        <w:rPr>
          <w:rFonts w:ascii="Times New Roman;Times;Serif" w:hAnsi="Times New Roman;Times;Serif"/>
          <w:b/>
          <w:i/>
          <w:caps w:val="false"/>
          <w:smallCaps w:val="false"/>
          <w:color w:val="1A1A1A"/>
          <w:sz w:val="20"/>
        </w:rPr>
        <w:t>Forward-Looking Statement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1A1A1A"/>
          <w:sz w:val="20"/>
        </w:rPr>
        <w:t>This news release contains both historical and forward-looking statements within the meaning of Section 27A of the U.S. Securities Act of 1933, as amended, and Section 21E of the U.S. Securities Exchange Act of 1934, as amended, and forward-looking information within the meaning of Canadian securities laws (collectively, “forward-looking statements”). Forward-looking statements have been included in this news release to provide readers with information about Enbridge and its subsidiaries and affiliates, including management's assessment of Enbridge's and its subsidiaries' future plans and operations. This information may not be appropriate for other purposes. Forward-looking statements are typically identified by words such as ''anticipate'', ''expect'', ''project'', ''estimate'', ''forecast'', ''plan'', ''intend'', ''target'', ''believe'', "likely", and similar words suggesting future outcomes or statements regarding an outlook. Forward-looking statements included in this news release include, but are not limited to, statements regarding the proposed acquisition of Tallgrass Energy's crude oil transportation, gathering, storage and terminaling assets, including the anticipated timing, completion, financing and benefits of the transaction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color w:val="1A1A1A"/>
          <w:sz w:val="20"/>
        </w:rPr>
        <w:t>the equity offering, including its anticipated use of proceeds; expected free cash flows, growth opportunities, operational synergies and accretion to distributable cash flow per share; the Pony Express Pipeline expansion, including its expected capacity increase and anticipated in-service date;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1A1A1A"/>
          <w:sz w:val="20"/>
        </w:rPr>
      </w:pPr>
      <w:r>
        <w:rPr>
          <w:rFonts w:ascii="Times New Roman;Times;Serif" w:hAnsi="Times New Roman;Times;Serif"/>
          <w:b w:val="false"/>
          <w:i/>
          <w:caps w:val="false"/>
          <w:smallCaps w:val="false"/>
          <w:color w:val="1A1A1A"/>
          <w:sz w:val="20"/>
        </w:rPr>
        <w:t>Although Enbridge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natural gas liquids (NGL), liquefied natural gas (LNG), renewable natural gas (RNG) and renewable energy; anticipated utilization of our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governmental legislation; litigation; estimated future dividends and impact of our dividend policy on our future cash flows; our credit ratings; capital project funding; hedging program; expected earnings before interest, income taxes, and depreciation and amortization (EBITDA);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Times New Roman;Times;Serif" w:hAnsi="Times New Roman;Times;Serif"/>
          <w:b w:val="false"/>
          <w:i/>
          <w:caps w:val="false"/>
          <w:smallCaps w:val="false"/>
          <w:color w:val="1A1A1A"/>
          <w:sz w:val="20"/>
        </w:rPr>
      </w:pPr>
      <w:r>
        <w:rPr>
          <w:rFonts w:ascii="Times New Roman;Times;Serif" w:hAnsi="Times New Roman;Times;Serif"/>
          <w:b w:val="false"/>
          <w:i/>
          <w:caps w:val="false"/>
          <w:smallCaps w:val="false"/>
          <w:color w:val="1A1A1A"/>
          <w:sz w:val="20"/>
        </w:rPr>
        <w:t xml:space="preserve">Enbridge's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conditions; and the supply of, demand for and prices of commodities and other alternative energy, including but not limited to, those risks and uncertainties discussed in this news release and in our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Times New Roman;Times;Serif" w:hAnsi="Times New Roman;Times;Serif"/>
          <w:b w:val="false"/>
          <w:i/>
          <w:caps w:val="false"/>
          <w:smallCaps w:val="false"/>
          <w:color w:val="1A1A1A"/>
          <w:sz w:val="20"/>
        </w:rPr>
      </w:pPr>
      <w:r>
        <w:rPr>
          <w:rFonts w:ascii="Times New Roman;Times;Serif" w:hAnsi="Times New Roman;Times;Serif"/>
          <w:b w:val="false"/>
          <w:i/>
          <w:caps w:val="false"/>
          <w:smallCaps w:val="false"/>
          <w:color w:val="1A1A1A"/>
          <w:sz w:val="20"/>
        </w:rPr>
        <w:t>Except to the extent required by applicable law, Enbridge assumes no obligation to publicly update or revise any forward-looking statement made in this news release or otherwise, whether as a result of new information, future events or otherwise. All forward-looking statements, whether written or oral, attributable to us or persons acting on our behalf, are expressly qualified in their entirety by these cautionary statements.</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Times New Roman;Times;Serif" w:hAnsi="Times New Roman;Times;Serif"/>
          <w:b/>
          <w:i w:val="false"/>
          <w:caps w:val="false"/>
          <w:smallCaps w:val="false"/>
          <w:color w:val="1A1A1A"/>
          <w:sz w:val="20"/>
        </w:rPr>
      </w:pPr>
      <w:r>
        <w:rPr>
          <w:rFonts w:ascii="Times New Roman;Times;Serif" w:hAnsi="Times New Roman;Times;Serif"/>
          <w:b/>
          <w:i w:val="false"/>
          <w:caps w:val="false"/>
          <w:smallCaps w:val="false"/>
          <w:color w:val="1A1A1A"/>
          <w:sz w:val="20"/>
        </w:rPr>
        <w:t>FOR FURTHER INFORMATION PLEASE CONTACT:</w:t>
      </w:r>
    </w:p>
    <w:p>
      <w:pPr>
        <w:pStyle w:val="TextBody"/>
        <w:bidi w:val="0"/>
        <w:spacing w:before="0" w:after="0"/>
        <w:ind w:left="0" w:right="0" w:hanging="0"/>
        <w:jc w:val="left"/>
        <w:rPr>
          <w:caps w:val="false"/>
          <w:smallCaps w:val="false"/>
          <w:color w:val="1A1A1A"/>
        </w:rPr>
      </w:pPr>
      <w:r>
        <w:rPr>
          <w:caps w:val="false"/>
          <w:smallCaps w:val="false"/>
          <w:color w:val="1A1A1A"/>
        </w:rPr>
        <w:t> </w:t>
      </w:r>
    </w:p>
    <w:tbl>
      <w:tblPr>
        <w:tblW w:w="5770" w:type="dxa"/>
        <w:jc w:val="left"/>
        <w:tblInd w:w="0" w:type="dxa"/>
        <w:tblLayout w:type="fixed"/>
        <w:tblCellMar>
          <w:top w:w="0" w:type="dxa"/>
          <w:left w:w="0" w:type="dxa"/>
          <w:bottom w:w="0" w:type="dxa"/>
          <w:right w:w="0" w:type="dxa"/>
        </w:tblCellMar>
      </w:tblPr>
      <w:tblGrid>
        <w:gridCol w:w="2450"/>
        <w:gridCol w:w="3320"/>
      </w:tblGrid>
      <w:tr>
        <w:trPr/>
        <w:tc>
          <w:tcPr>
            <w:tcW w:w="245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Media</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(888) 992-0997</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media@enbridge.com </w:t>
            </w:r>
          </w:p>
        </w:tc>
        <w:tc>
          <w:tcPr>
            <w:tcW w:w="332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Community</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Marlon Samuel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(800) 481-2804</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investor.relations@enbridge.com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3230</Words>
  <Characters>19754</Characters>
  <CharactersWithSpaces>22999</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