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40" w:lineRule="exact"/>
        <w:rPr>
          <w:sz w:val="24"/>
          <w:szCs w:val="24"/>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001-15254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32"/>
          <w:szCs w:val="32"/>
          <w:b w:val="1"/>
          <w:bCs w:val="1"/>
          <w:color w:val="auto"/>
        </w:rPr>
        <w:t>ENBRIDGE EMPLOYEE SERVICES, INC. EMPLOYEES’ SAVINGS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915 North Eldridge Parkway, Houston, Texas 77079</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(Full title of the plan and the address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ENBRIDGE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200, 425-1st Street S.W., Calgary, Alberta, Canada T2P 3L8</w:t>
      </w:r>
    </w:p>
    <w:p>
      <w:pPr>
        <w:spacing w:after="0" w:line="2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ENBRIDGE EMPLOYEE SERVICES,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EMPLOYEES’ SAVINGS PLAN</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ACCOUNTING FIRM, PLAN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AND SUPPLEMENTARY INFORMATION</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 </w:t>
      </w:r>
    </w:p>
    <w:tbl>
      <w:tblPr>
        <w:tblLayout w:type="fixed"/>
        <w:tblInd w:w="120" w:type="dxa"/>
        <w:tblCellMar>
          <w:top w:w="0" w:type="dxa"/>
          <w:left w:w="0" w:type="dxa"/>
          <w:bottom w:w="0" w:type="dxa"/>
          <w:right w:w="0" w:type="dxa"/>
        </w:tblCellMar>
      </w:tblPr>
      <w:tr>
        <w:trPr>
          <w:trHeight w:val="158"/>
        </w:trPr>
        <w:tc>
          <w:tcPr>
            <w:tcW w:w="61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INDEPENDENT REGISTERED PUBLIC ACCOUNTING FIRM</w:t>
            </w:r>
          </w:p>
        </w:tc>
        <w:tc>
          <w:tcPr>
            <w:tcW w:w="4500" w:type="dxa"/>
            <w:vAlign w:val="bottom"/>
            <w:vMerge w:val="restart"/>
          </w:tcPr>
          <w:p>
            <w:pPr>
              <w:spacing w:after="0"/>
              <w:rPr>
                <w:sz w:val="13"/>
                <w:szCs w:val="13"/>
                <w:color w:val="auto"/>
              </w:rPr>
            </w:pPr>
          </w:p>
        </w:tc>
        <w:tc>
          <w:tcPr>
            <w:tcW w:w="3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6160" w:type="dxa"/>
            <w:vAlign w:val="bottom"/>
            <w:tcBorders>
              <w:bottom w:val="single" w:sz="8" w:color="0000EE"/>
            </w:tcBorders>
            <w:gridSpan w:val="5"/>
            <w:vMerge w:val="continue"/>
          </w:tcPr>
          <w:p>
            <w:pPr>
              <w:spacing w:after="0"/>
              <w:rPr>
                <w:sz w:val="13"/>
                <w:szCs w:val="13"/>
                <w:color w:val="auto"/>
              </w:rPr>
            </w:pPr>
          </w:p>
        </w:tc>
        <w:tc>
          <w:tcPr>
            <w:tcW w:w="4500" w:type="dxa"/>
            <w:vAlign w:val="bottom"/>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0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Statements of Net Assets Available for Benefits</w:t>
            </w:r>
          </w:p>
        </w:tc>
        <w:tc>
          <w:tcPr>
            <w:tcW w:w="7220" w:type="dxa"/>
            <w:vAlign w:val="bottom"/>
            <w:gridSpan w:val="4"/>
          </w:tcPr>
          <w:p>
            <w:pPr>
              <w:spacing w:after="0"/>
              <w:rPr>
                <w:sz w:val="16"/>
                <w:szCs w:val="16"/>
                <w:color w:val="auto"/>
              </w:rPr>
            </w:pPr>
          </w:p>
        </w:tc>
        <w:tc>
          <w:tcPr>
            <w:tcW w:w="3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Net Assets Available for Benefits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2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4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Form 5500, Schedule H, Line 4i - Schedule of Assets (Held at End of Year)</w:t>
            </w:r>
          </w:p>
        </w:tc>
        <w:tc>
          <w:tcPr>
            <w:tcW w:w="5220" w:type="dxa"/>
            <w:vAlign w:val="bottom"/>
            <w:gridSpan w:val="2"/>
          </w:tcPr>
          <w:p>
            <w:pPr>
              <w:spacing w:after="0"/>
              <w:rPr>
                <w:sz w:val="16"/>
                <w:szCs w:val="16"/>
                <w:color w:val="auto"/>
              </w:rPr>
            </w:pPr>
          </w:p>
        </w:tc>
        <w:tc>
          <w:tcPr>
            <w:tcW w:w="3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85"/>
        </w:trPr>
        <w:tc>
          <w:tcPr>
            <w:tcW w:w="6160" w:type="dxa"/>
            <w:vAlign w:val="bottom"/>
            <w:gridSpan w:val="5"/>
          </w:tcPr>
          <w:p>
            <w:pPr>
              <w:ind w:left="5460"/>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217170</wp:posOffset>
            </wp:positionV>
            <wp:extent cx="1474470" cy="683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6831965"/>
                    </a:xfrm>
                    <a:prstGeom prst="rect">
                      <a:avLst/>
                    </a:prstGeom>
                    <a:noFill/>
                  </pic:spPr>
                </pic:pic>
              </a:graphicData>
            </a:graphic>
          </wp:anchor>
        </w:drawing>
      </w:r>
    </w:p>
    <w:p>
      <w:pPr>
        <w:spacing w:after="0" w:line="322" w:lineRule="exact"/>
        <w:rPr>
          <w:sz w:val="20"/>
          <w:szCs w:val="20"/>
          <w:color w:val="auto"/>
        </w:rPr>
      </w:pPr>
    </w:p>
    <w:p>
      <w:pPr>
        <w:ind w:left="1480"/>
        <w:spacing w:after="0"/>
        <w:rPr>
          <w:sz w:val="20"/>
          <w:szCs w:val="20"/>
          <w:color w:val="auto"/>
        </w:rPr>
      </w:pPr>
      <w:r>
        <w:rPr>
          <w:sz w:val="1"/>
          <w:szCs w:val="1"/>
          <w:color w:val="auto"/>
        </w:rPr>
        <w:drawing>
          <wp:inline distT="0" distB="0" distL="0" distR="0">
            <wp:extent cx="591185" cy="5314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185" cy="53149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w:t>
      </w:r>
    </w:p>
    <w:p>
      <w:pPr>
        <w:spacing w:after="0" w:line="35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Enbridge Employee Services, Inc. Employees’ Savings Plan</w:t>
      </w:r>
    </w:p>
    <w:p>
      <w:pPr>
        <w:spacing w:after="0" w:line="31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left="27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Enbridge Employee Services, Inc. Employees’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9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2760" w:right="8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Plan’s management (Management). Our responsibility is to express an opinion on the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2760"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9" w:lineRule="exact"/>
        <w:rPr>
          <w:sz w:val="20"/>
          <w:szCs w:val="20"/>
          <w:color w:val="auto"/>
        </w:rPr>
      </w:pPr>
    </w:p>
    <w:p>
      <w:pPr>
        <w:ind w:left="2760" w:right="4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4"/>
          <w:szCs w:val="14"/>
          <w:color w:val="auto"/>
        </w:rPr>
        <w:t>4828 Loop Central Dr. </w:t>
      </w:r>
    </w:p>
    <w:p>
      <w:pPr>
        <w:spacing w:after="0" w:line="109" w:lineRule="exact"/>
        <w:rPr>
          <w:sz w:val="20"/>
          <w:szCs w:val="20"/>
          <w:color w:val="auto"/>
        </w:rPr>
      </w:pPr>
    </w:p>
    <w:p>
      <w:pPr>
        <w:jc w:val="right"/>
        <w:ind w:right="8600"/>
        <w:spacing w:after="0"/>
        <w:rPr>
          <w:sz w:val="20"/>
          <w:szCs w:val="20"/>
          <w:color w:val="auto"/>
        </w:rPr>
      </w:pPr>
      <w:r>
        <w:rPr>
          <w:rFonts w:ascii="Times New Roman" w:cs="Times New Roman" w:eastAsia="Times New Roman" w:hAnsi="Times New Roman"/>
          <w:sz w:val="14"/>
          <w:szCs w:val="14"/>
          <w:color w:val="auto"/>
        </w:rPr>
        <w:t>Suite 1000</w:t>
      </w:r>
    </w:p>
    <w:p>
      <w:pPr>
        <w:spacing w:after="0" w:line="109" w:lineRule="exact"/>
        <w:rPr>
          <w:sz w:val="20"/>
          <w:szCs w:val="20"/>
          <w:color w:val="auto"/>
        </w:rPr>
      </w:pPr>
    </w:p>
    <w:p>
      <w:pPr>
        <w:jc w:val="right"/>
        <w:ind w:right="8600"/>
        <w:spacing w:after="0"/>
        <w:rPr>
          <w:sz w:val="20"/>
          <w:szCs w:val="20"/>
          <w:color w:val="auto"/>
        </w:rPr>
      </w:pPr>
      <w:r>
        <w:rPr>
          <w:rFonts w:ascii="Times New Roman" w:cs="Times New Roman" w:eastAsia="Times New Roman" w:hAnsi="Times New Roman"/>
          <w:sz w:val="14"/>
          <w:szCs w:val="14"/>
          <w:color w:val="auto"/>
        </w:rPr>
        <w:t>Houston, TX 77081</w:t>
      </w:r>
    </w:p>
    <w:p>
      <w:pPr>
        <w:spacing w:after="0" w:line="109" w:lineRule="exact"/>
        <w:rPr>
          <w:sz w:val="20"/>
          <w:szCs w:val="20"/>
          <w:color w:val="auto"/>
        </w:rPr>
      </w:pPr>
    </w:p>
    <w:p>
      <w:pPr>
        <w:jc w:val="right"/>
        <w:ind w:right="8600"/>
        <w:spacing w:after="0"/>
        <w:rPr>
          <w:sz w:val="20"/>
          <w:szCs w:val="20"/>
          <w:color w:val="auto"/>
        </w:rPr>
      </w:pPr>
      <w:r>
        <w:rPr>
          <w:rFonts w:ascii="Times New Roman" w:cs="Times New Roman" w:eastAsia="Times New Roman" w:hAnsi="Times New Roman"/>
          <w:sz w:val="14"/>
          <w:szCs w:val="14"/>
          <w:color w:val="auto"/>
        </w:rPr>
        <w:t>Phone: 713.968.1600</w:t>
      </w:r>
    </w:p>
    <w:p>
      <w:pPr>
        <w:spacing w:after="0" w:line="109" w:lineRule="exact"/>
        <w:rPr>
          <w:sz w:val="20"/>
          <w:szCs w:val="20"/>
          <w:color w:val="auto"/>
        </w:rPr>
      </w:pPr>
    </w:p>
    <w:p>
      <w:pPr>
        <w:jc w:val="right"/>
        <w:ind w:right="8600"/>
        <w:spacing w:after="0"/>
        <w:rPr>
          <w:sz w:val="20"/>
          <w:szCs w:val="20"/>
          <w:color w:val="auto"/>
        </w:rPr>
      </w:pPr>
      <w:r>
        <w:rPr>
          <w:rFonts w:ascii="Times New Roman" w:cs="Times New Roman" w:eastAsia="Times New Roman" w:hAnsi="Times New Roman"/>
          <w:sz w:val="14"/>
          <w:szCs w:val="14"/>
          <w:color w:val="auto"/>
        </w:rPr>
        <w:t>Fax: 713.968.1601</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WWW.MCCONNELLJONES.COM</w:t>
      </w:r>
    </w:p>
    <w:p>
      <w:pPr>
        <w:spacing w:after="0" w:line="150" w:lineRule="exact"/>
        <w:rPr>
          <w:sz w:val="20"/>
          <w:szCs w:val="20"/>
          <w:color w:val="auto"/>
        </w:rPr>
      </w:pPr>
    </w:p>
    <w:p>
      <w:pPr>
        <w:ind w:left="5820"/>
        <w:spacing w:after="0"/>
        <w:tabs>
          <w:tab w:leader="none" w:pos="77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b w:val="1"/>
          <w:bCs w:val="1"/>
          <w:color w:val="auto"/>
        </w:rPr>
        <w:t>Diverse Thinking | Unique Perspectives</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217170</wp:posOffset>
            </wp:positionV>
            <wp:extent cx="1337310" cy="651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322" w:lineRule="exact"/>
        <w:rPr>
          <w:sz w:val="20"/>
          <w:szCs w:val="20"/>
          <w:color w:val="auto"/>
        </w:rPr>
      </w:pPr>
    </w:p>
    <w:p>
      <w:pPr>
        <w:ind w:left="1480"/>
        <w:spacing w:after="0"/>
        <w:rPr>
          <w:sz w:val="20"/>
          <w:szCs w:val="20"/>
          <w:color w:val="auto"/>
        </w:rPr>
      </w:pPr>
      <w:r>
        <w:rPr>
          <w:sz w:val="1"/>
          <w:szCs w:val="1"/>
          <w:color w:val="auto"/>
        </w:rPr>
        <w:drawing>
          <wp:inline distT="0" distB="0" distL="0" distR="0">
            <wp:extent cx="591185" cy="5314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185" cy="531495"/>
                    </a:xfrm>
                    <a:prstGeom prst="rect">
                      <a:avLst/>
                    </a:prstGeom>
                    <a:noFill/>
                    <a:ln>
                      <a:noFill/>
                    </a:ln>
                  </pic:spPr>
                </pic:pic>
              </a:graphicData>
            </a:graphic>
          </wp:inline>
        </w:drawing>
      </w:r>
      <w:r>
        <w:rPr>
          <w:rFonts w:ascii="Times New Roman" w:cs="Times New Roman" w:eastAsia="Times New Roman" w:hAnsi="Times New Roman"/>
          <w:sz w:val="11"/>
          <w:szCs w:val="1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-546100</wp:posOffset>
            </wp:positionV>
            <wp:extent cx="8890" cy="6986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986270"/>
                    </a:xfrm>
                    <a:prstGeom prst="rect">
                      <a:avLst/>
                    </a:prstGeom>
                    <a:noFill/>
                  </pic:spPr>
                </pic:pic>
              </a:graphicData>
            </a:graphic>
          </wp:anchor>
        </w:drawing>
      </w:r>
    </w:p>
    <w:p>
      <w:pPr>
        <w:spacing w:after="0" w:line="3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i w:val="1"/>
          <w:iCs w:val="1"/>
          <w:color w:val="auto"/>
        </w:rPr>
        <w:t>Supplemental Schedule</w:t>
      </w:r>
    </w:p>
    <w:p>
      <w:pPr>
        <w:spacing w:after="0" w:line="135" w:lineRule="exact"/>
        <w:rPr>
          <w:sz w:val="20"/>
          <w:szCs w:val="20"/>
          <w:color w:val="auto"/>
        </w:rPr>
      </w:pPr>
    </w:p>
    <w:p>
      <w:pPr>
        <w:ind w:left="2760" w:right="100"/>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financial statements. The supplemental schedule is the responsibility of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taken as a whole.</w:t>
      </w:r>
    </w:p>
    <w:p>
      <w:pPr>
        <w:spacing w:after="0" w:line="2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 McConnell &amp; Jones LLP</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June 24, 2026</w:t>
      </w:r>
    </w:p>
    <w:p>
      <w:pPr>
        <w:spacing w:after="0" w:line="2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We have served as the Plan’s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ENBRIDGE EMPLOYEE SERVICES, INC. EMPLOYEES’ SAVINGS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6"/>
                <w:szCs w:val="16"/>
                <w:color w:val="auto"/>
              </w:rPr>
            </w:pPr>
          </w:p>
        </w:tc>
      </w:tr>
      <w:tr>
        <w:trPr>
          <w:trHeight w:val="135"/>
        </w:trPr>
        <w:tc>
          <w:tcPr>
            <w:tcW w:w="8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(thousands of</w:t>
            </w:r>
          </w:p>
        </w:tc>
        <w:tc>
          <w:tcPr>
            <w:tcW w:w="84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i w:val="1"/>
                <w:iCs w:val="1"/>
                <w:color w:val="auto"/>
              </w:rPr>
              <w:t>dollars)</w:t>
            </w: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Investments, at fair value </w:t>
            </w:r>
            <w:r>
              <w:rPr>
                <w:rFonts w:ascii="Times New Roman" w:cs="Times New Roman" w:eastAsia="Times New Roman" w:hAnsi="Times New Roman"/>
                <w:sz w:val="18"/>
                <w:szCs w:val="18"/>
                <w:i w:val="1"/>
                <w:iCs w:val="1"/>
                <w:color w:val="auto"/>
              </w:rPr>
              <w:t>(Note 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2,050,123</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1,818,314</w:t>
            </w:r>
          </w:p>
        </w:tc>
      </w:tr>
      <w:tr>
        <w:trPr>
          <w:trHeight w:val="216"/>
        </w:trPr>
        <w:tc>
          <w:tcPr>
            <w:tcW w:w="9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25,437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24,711</w:t>
            </w:r>
          </w:p>
        </w:tc>
      </w:tr>
      <w:tr>
        <w:trPr>
          <w:trHeight w:val="223"/>
        </w:trPr>
        <w:tc>
          <w:tcPr>
            <w:tcW w:w="9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Non-interest bearing cash</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16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2,076,407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1,843,057</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2,076,407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1,843,057</w:t>
            </w:r>
          </w:p>
        </w:tc>
        <w:tc>
          <w:tcPr>
            <w:tcW w:w="6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ectPr>
          <w:pgSz w:w="11900" w:h="16838" w:orient="portrait"/>
          <w:cols w:equalWidth="0" w:num="1">
            <w:col w:w="11140"/>
          </w:cols>
          <w:pgMar w:left="320" w:top="482" w:right="439" w:bottom="727" w:gutter="0" w:footer="0" w:header="0"/>
        </w:sectPr>
      </w:pP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40"/>
          </w:cols>
          <w:pgMar w:left="320" w:top="482" w:right="439" w:bottom="72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ENBRIDGE EMPLOYEE SERVICES, INC. EMPLOYEES’ SAVINGS PLAN</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r>
      <w:tr>
        <w:trPr>
          <w:trHeight w:val="135"/>
        </w:trPr>
        <w:tc>
          <w:tcPr>
            <w:tcW w:w="156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(thousands of dollars)</w:t>
            </w:r>
          </w:p>
        </w:tc>
        <w:tc>
          <w:tcPr>
            <w:tcW w:w="86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252,809</w:t>
            </w:r>
          </w:p>
        </w:tc>
      </w:tr>
      <w:tr>
        <w:trPr>
          <w:trHeight w:val="223"/>
        </w:trPr>
        <w:tc>
          <w:tcPr>
            <w:tcW w:w="10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44,521</w:t>
            </w:r>
          </w:p>
        </w:tc>
        <w:tc>
          <w:tcPr>
            <w:tcW w:w="6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297,330</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60" w:type="dxa"/>
            <w:vAlign w:val="bottom"/>
          </w:tcPr>
          <w:p>
            <w:pPr>
              <w:spacing w:after="0"/>
              <w:rPr>
                <w:sz w:val="19"/>
                <w:szCs w:val="19"/>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Participant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72,487</w:t>
            </w:r>
          </w:p>
        </w:tc>
      </w:tr>
      <w:tr>
        <w:trPr>
          <w:trHeight w:val="216"/>
        </w:trPr>
        <w:tc>
          <w:tcPr>
            <w:tcW w:w="10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41,589</w:t>
            </w:r>
          </w:p>
        </w:tc>
      </w:tr>
      <w:tr>
        <w:trPr>
          <w:trHeight w:val="223"/>
        </w:trPr>
        <w:tc>
          <w:tcPr>
            <w:tcW w:w="10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Rollover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13,979</w:t>
            </w:r>
          </w:p>
        </w:tc>
        <w:tc>
          <w:tcPr>
            <w:tcW w:w="6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128,055</w:t>
            </w:r>
          </w:p>
        </w:tc>
      </w:tr>
      <w:tr>
        <w:trPr>
          <w:trHeight w:val="23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additions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427,469</w:t>
            </w:r>
          </w:p>
        </w:tc>
        <w:tc>
          <w:tcPr>
            <w:tcW w:w="60" w:type="dxa"/>
            <w:vAlign w:val="bottom"/>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193,483</w:t>
            </w:r>
          </w:p>
        </w:tc>
      </w:tr>
      <w:tr>
        <w:trPr>
          <w:trHeight w:val="216"/>
        </w:trPr>
        <w:tc>
          <w:tcPr>
            <w:tcW w:w="10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Administrative expenses </w:t>
            </w:r>
            <w:r>
              <w:rPr>
                <w:rFonts w:ascii="Times New Roman" w:cs="Times New Roman" w:eastAsia="Times New Roman" w:hAnsi="Times New Roman"/>
                <w:sz w:val="18"/>
                <w:szCs w:val="18"/>
                <w:i w:val="1"/>
                <w:iCs w:val="1"/>
                <w:color w:val="auto"/>
              </w:rPr>
              <w:t>(Note 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636</w:t>
            </w:r>
          </w:p>
        </w:tc>
      </w:tr>
      <w:tr>
        <w:trPr>
          <w:trHeight w:val="23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deductions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194,119</w:t>
            </w:r>
          </w:p>
        </w:tc>
        <w:tc>
          <w:tcPr>
            <w:tcW w:w="60" w:type="dxa"/>
            <w:vAlign w:val="bottom"/>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233,350</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1,843,057</w:t>
            </w:r>
          </w:p>
        </w:tc>
        <w:tc>
          <w:tcPr>
            <w:tcW w:w="60" w:type="dxa"/>
            <w:vAlign w:val="bottom"/>
          </w:tcPr>
          <w:p>
            <w:pPr>
              <w:spacing w:after="0"/>
              <w:rPr>
                <w:sz w:val="19"/>
                <w:szCs w:val="19"/>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2,076,407</w:t>
            </w:r>
          </w:p>
        </w:tc>
      </w:tr>
      <w:tr>
        <w:trPr>
          <w:trHeight w:val="20"/>
        </w:trPr>
        <w:tc>
          <w:tcPr>
            <w:tcW w:w="15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ENBRIDGE EMPLOYEE SERVICES, INC. EMPLOYEES’ SAVINGS PLAN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PLAN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Enbridge Employee Services, Inc. Employees’ Savings Plan (the “Plan”) is a defined contribution plan. For complete information, reference should be made to the Plan document.</w:t>
      </w:r>
    </w:p>
    <w:p>
      <w:pPr>
        <w:spacing w:after="0" w:line="162"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The Plan is sponsored and administered by Enbridge Employee Services, Inc. (the “Company”), a wholly-owned subsidiary of Enbridge Inc. (“Enbridge”). The Plan is under the governance of Enbridge’s Pension Committee and is subject to the applicable provisions of the United States Department of Labor’s Employee Retirement Income Security Act of 1974, as amended (“ERISA”).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and Purpose</w:t>
      </w:r>
    </w:p>
    <w:p>
      <w:pPr>
        <w:spacing w:after="0" w:line="121"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The purpose of the Plan is to provide an opportunity for eligible employees to enhance their long-term financial security through employee contributions, contributions from the Company, and investments among certain investment funds.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 Employees Except US Utilities Employees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defined in the Plan document, all regular employees of the Company or a Participating Affiliate, excluding US Utilities employees, are eligible to elect participation in the Plan immediately upon hire with participation commencing from the effective date of the election. Temporary employees, who are classified as laborers, are eligible to make plan contributions on the earlier of (i) the first day of the month following the completion of a year of vesting service or (ii) the date upon which the employee begins filling a full-time or part-time established position with the Company or a Participating Affiliate.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Utilities Employees</w:t>
      </w:r>
    </w:p>
    <w:p>
      <w:pPr>
        <w:spacing w:after="0" w:line="11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All regular US Utilities employees, as defined in the Plan document, are eligible to elect participation in the Plan immediately upon hire with participation commencing from the effective date of the election. To be eligible, participants must be 18 years of age or older and be a regular full-time or part-time employee. Union participants must be scheduled to work or actually work at least 1,000 hours in the 12-month period preceding enrollment.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 Employees Except US Utilities Employees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Contributions made to the Plan, for employees other than US Utilities employees, are invested as directed by participants as they are received from the Company. T. Rowe Price, as trustee, invests the contributions on behalf of the Plan. Participants are entitled to make contributions to the Plan by electing to contribute up to 50% of eligible earnings, but not in excess of the statutory maximum contribution amount, which for 2025 was $23,500. Contributions can be made on a pre-tax basis (where the investment income is not subject to tax, but withdrawals are) or an after-tax Roth basis (where the investment income and withdrawals are not subject to tax). Employees who have attained age 50 before the close of the Plan year shall be eligible to make catch-up contributions, in accordance with and subject to certain limitations. Participants who are age 60 through 63 at the end of any Plan year are eligible to make an additional enhanced catch-up contribution up to the greater of (i) $10,000 or (ii) 150% of the standard catch-up contributions ($11,250 for 2025), subject to applicable Internal Revenue Code (“IRC”) limits.</w:t>
      </w:r>
    </w:p>
    <w:p>
      <w:pPr>
        <w:spacing w:after="0" w:line="19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Participant contributions are invested at the discretion of each participant in one or more of the Plan’s investment options. If a participant fails to make an investment election, contributions are invested in the target-date retirement fund that corresponds to the participant’s age. Eligible employees participate in the Plan either through self-election of a deferral percentage or through automatic enrollment into the Plan at a 6% deferral, provided that the employee did not opt out of such election as specified in the Plan document. Such deferral elections represent a portion of participants’ salary that would otherwise be payable to participants. Participant deferrals are intended to satisfy the requirements of Section 401(k) of the IRC of 1986, as amended. All matching contributions are made to T. Rowe Price in the investment election selected by the employee, or in a target-date retirement fund if no investment election has been made.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 matching amount shall be equal to 100% of the sum of the participant’s 401(k) pre-tax contribution and Roth contribution, limited to a maximum allowable percentage of 6% of their credited compensation. Participant after-tax contributions and matching contributions are intended to satisfy the requirements of Section 401(m) of the IRC.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Utilities Employees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Contributions made to the Plan, for US Utilities employees, are invested as directed by participants as they are received from the Company. Voya Institutional Trust Company, as trustee, invests the contributions on behalf of the Plan. Participants may contribute not less than 2% and not more than 50% of their eligible earnings to the Plan. Employee contributions are limited to a maximum of 50% on a pre-tax or Roth basis, or a maximum of 20% on an after-tax basis. The maximum combined total under pre-tax, Roth, and after-tax cannot exceed 50% of eligible earnings. Employee contributions are subject to certain IRC limitations. In addition, participants age 50 or older who contributed the maximum annual amount allowable under the pre-tax or Roth options in the Plan have the option of making additional pre-tax or Roth catch-up contributions in accordance with IRC limitations.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Depending on a participant’s hire date, years of service, and the percentage of pre-tax, Roth and after-tax contributions, the Company contributes a matching amount from 1% to 7% of the participant’s eligible earnings. Except for G555 unionized employees, the Company also provides non elective Company contributions of 4% or 5% of eligible compensation depending on years of service for (i) employees hired or rehired on or after July 1, 2021 and (ii) for certain existing participants of the Pension Plan that voluntarily elected this enhanced feature of the Plan, effective May 1, 2022. Employees who elect to participate will also receive matching contributions in accordance with the Plan’s provisions.</w:t>
      </w:r>
    </w:p>
    <w:p>
      <w:pPr>
        <w:spacing w:after="0" w:line="183"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Newly hired US Utilities employees are enrolled automatically into the Plan at a 4% pre-tax contribution rate approximately 45 days after the date of hire or rehire unless an alternative election is made. Certain rehires are generally auto-enrolled depending on criteria such as, but not limited to, their hire date, enrollment status, and whether they have incurred a break-in-service.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Rollover Contributions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Rollover contributions represent amounts recorded when participants elect to contribute amounts to their Plan accounts from other eligible, tax-qualified retirement plans or qualified individual retirement accounts. T. Rowe Price and Voya Institutional Trust Company (collectively, the “Trustees”) will accept rollover contributions from a participant who is entitled to receive a distribution from a designated pre-tax or Roth deferral account under another qualified savings plan contributions program.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As established by the Company, T. Rowe Price Retirement Services Inc. is the record keeper of the Plan for all employees except for US Utilities employees and Voya Institutional Plan Services, LLC is the record keeper of the Plan for US Utilities employees.</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participant’s account is credited with the participant’s contributions, employer contributions, and Plan earnings, and charged with benefit payments and allocations of Plan losses and any applicable Plan expenses. Allocations are based on participant earnings or account balances. The benefit to which a participant is entitled is the benefit that can be provided from the participant’s vested account. The selection from available investment funds is the sole responsibility of each participant. Participants may invest their Plan accounts in any or all of the investment funds offered in the Plan.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21" w:lineRule="exact"/>
        <w:rPr>
          <w:sz w:val="20"/>
          <w:szCs w:val="20"/>
          <w:color w:val="auto"/>
        </w:rPr>
      </w:pPr>
    </w:p>
    <w:p>
      <w:pPr>
        <w:ind w:left="120" w:right="120"/>
        <w:spacing w:after="0" w:line="276" w:lineRule="auto"/>
        <w:rPr>
          <w:sz w:val="20"/>
          <w:szCs w:val="20"/>
          <w:color w:val="auto"/>
        </w:rPr>
      </w:pPr>
      <w:r>
        <w:rPr>
          <w:rFonts w:ascii="Times New Roman" w:cs="Times New Roman" w:eastAsia="Times New Roman" w:hAnsi="Times New Roman"/>
          <w:sz w:val="17"/>
          <w:szCs w:val="17"/>
          <w:color w:val="auto"/>
        </w:rPr>
        <w:t>The non-vested portion of the participant’s accounts shall become a forfeiture as of the earlier of: (i) the date of distribution of the participant’s vested accounts, or (ii) the date the participant incurs five consecutive one-year periods of severance. The order in which the forfeiture balance can be used is:</w:t>
      </w:r>
    </w:p>
    <w:p>
      <w:pPr>
        <w:spacing w:after="0" w:line="1" w:lineRule="exact"/>
        <w:rPr>
          <w:sz w:val="20"/>
          <w:szCs w:val="20"/>
          <w:color w:val="auto"/>
        </w:rPr>
      </w:pPr>
    </w:p>
    <w:p>
      <w:pPr>
        <w:ind w:left="120" w:right="40" w:hanging="4"/>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reinstate the previously forfeited account balance of a terminated employee when that participant is rehired, (ii) pay administrative expenses of the Plan, and (iii) reduce employer contributions to the Plan.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Vesting and Payment of Benefits</w:t>
      </w:r>
    </w:p>
    <w:p>
      <w:pPr>
        <w:spacing w:after="0" w:line="121"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For participants, except for US Utilities employees, who provide services to the Company after December 31, 2017, the Company’s matching contributions and related earnings are fully vested. For US Utilities employees, participants generally become vested in the Company’s matching contributions and related earnings after three years of service.</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Upon retirement or termination of employment, a participant may elect to receive the value of the participant’s account in any of the following forms of distribution: (i) a single distribution; (ii) two or more installments over a period elected by the participant; or (iii) in two or more partial withdrawals provided that, for non-US Utilities employees, any such amount may be no less than $1,000. Distributions must commence no later than the required commencement date as set forth in the Plan.</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Plan also permits withdrawals of pre-tax and Roth elective deferral contributions in the event of a hardship. A hardship distribution must comply with section 401(k) of the IRC.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Participants may borrow from their accounts, with some limitations, a minimum of $1,000 up to a maximum equal to the lesser of (1) $50,000 minus the excess (if any) of (i) the highest outstanding loan balance during the 12-month period prior to the new loan, over (ii) the outstanding balance of loans on the date on which such loan is made; or (2) 50% of their vested account balances. A loan is secured by the balance in the participant’s account and bears interest at a rate of 1% above the prime rate as of the first business day of the month in which the loan is to be funded (between 8.00% to 8.75% for the year ended December 31, 2025). Loans are to be repaid by payroll deduction over a period not to exceed five years as elected by the participant. Participants may have no more than two loans outstanding. Upon termination of employment, a participant may continue to repay the loan over the original repayment term.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to discontinue its contributions at any time and to terminate the Plan subject to the provisions set forth in ERISA. In the event that the Plan is terminated, participants’ accounts will be distributed as permitted by law.</w:t>
      </w:r>
    </w:p>
    <w:p>
      <w:pPr>
        <w:spacing w:after="0" w:line="280" w:lineRule="exact"/>
        <w:rPr>
          <w:sz w:val="20"/>
          <w:szCs w:val="20"/>
          <w:color w:val="auto"/>
        </w:rPr>
      </w:pPr>
    </w:p>
    <w:p>
      <w:pPr>
        <w:ind w:left="120" w:right="7400" w:hanging="4"/>
        <w:spacing w:after="0" w:line="378"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These financial statements are prepared in accordance with generally accepted accounting principles in the United States of America (“US GAAP”) under the accrual basis of accounting. Amounts are stated in United States dollars.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use of estimates and assumptions that affect the reported amounts of net assets available for benefits and changes therein. Actual results could differ from those estimates.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Plan investments are comprised of various financial instruments that are exposed to various risks, such as interest rate risk, credit risk, and overall market volatility. Due to the level of risk associated with certain investments, it is reasonably possible that changes in the values of investments will occur in the near term and such changes could materially affect the amounts reported in the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Income and Expense Recognition</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Purchases and sales of securities are recorded on a trade-date basis. Interest income is recorded on the accrual basis and dividends are recorded to participant accounts on the ex-dividend date. Net appreciation includes gains and losses on investments bought and sold, as well as held during the year.</w:t>
      </w:r>
    </w:p>
    <w:p>
      <w:pPr>
        <w:spacing w:after="0" w:line="14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Management fees and operating expenses charged to the Plan for investments in the common stock funds or stable value trust funds and registered investment funds are either paid from the fund balance or deducted from income earned on a daily basis, and are not separately reflected. Consequently, management fees and operating expenses are reflected as a reduction of investment return for these investments.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earned. If a participant ceases to make loan repayments and Enbridge Employee Services, Inc. (the “Plan Administrator”) deems the participant loan to be a distribution, the participant loan balance is reduced and a benefit payment is recorded.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Benefit payments to participants are recorded upon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EXEMPT PARTY-IN-INTEREST TRANSACTIONS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Transactions with the Trustees and the funds they manage qualify as party-in-interest transactions. Investment management fees and operating fees paid by the Plan were included as a reduction of the return earned on each fund. Administrative fees paid by the Plan were $636,000 for the year ended December 31, 2025.</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Transactions in shares of Enbridge common stock qualify as exempt party-in-interest transactions under ERISA. As at December 31, 2025 and 2024, the Plan held 8.43 million and 9.07 million shares, respectively, of Enbridge common stock valued at $403,245,800 and $384,904,000, respectively. During the year ended December 31, 2025, the Plan recorded related dividend income of $23,413,000.</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Additionally, the Plan maintains participant loans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FEDERAL INCOME TAX STATUS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Company by letter dated August 13, 2020 that the Plan is qualified and the related trust is exempt from federal income tax under the provisions of Sections 401(a) and 501(a), respectively, of the IRC. Although the Plan has been amended since receiving this determination letter, the current design and operation of the Plan is considered by management and legal counsel to be in compliance with the applicable IRS exemption requirements. Accordingly, no provision for income taxes has been recognized in the Plan’s financial statements.</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IRS. There are no uncertain tax positions taken or expected to be taken that would require recognition of a liability or disclosure in the financial statements. The Plan is not currently under audit by any taxing jurisdictions.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fair value maximizing the use of observable inputs and minimizing the use of unobservable inputs.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Plan categorizes assets and liabilities measured at fair value into one of three different levels depending on the observability of the inputs employed in the measurement. A financial instrument’s level within the fair value hierarchy is based on the lowest level of any input that is significant to the fair value measurement.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Level 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Fair value is based on unadjusted quoted prices in active markets for identical assets or liabilities.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Fair value is based on quoted prices for similar assets and liabilities in active markets, and inputs that are observable for the asset or liability, either directly or indirectly, for substantially the full term of the financial instrument.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Level 3</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Fair value is based on valuation methods using inputs that are less observable, unavailable or where the observable data does support a significant portion of the financial instrument’s fair value. Inputs may be internally developed methodologies that result in a best estimate of the fair value.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investments measured at fair value:</w:t>
      </w:r>
    </w:p>
    <w:p>
      <w:pPr>
        <w:spacing w:after="0" w:line="129" w:lineRule="exact"/>
        <w:rPr>
          <w:sz w:val="20"/>
          <w:szCs w:val="20"/>
          <w:color w:val="auto"/>
        </w:rPr>
      </w:pPr>
    </w:p>
    <w:p>
      <w:pPr>
        <w:ind w:left="1080" w:right="14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Investments in money market funds are valued at quoted market prices. These investments are highly liquid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convertible to known amounts of cash.</w:t>
      </w:r>
    </w:p>
    <w:p>
      <w:pPr>
        <w:spacing w:after="0" w:line="63"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The market value of the common stock of Enbridge is based on the closing market price of the common stock on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Stock Exchange on the last business day of the Plan’s fiscal year multiplied by the number of shares held.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Registered investment funds: </w:t>
      </w:r>
      <w:r>
        <w:rPr>
          <w:rFonts w:ascii="Times New Roman" w:cs="Times New Roman" w:eastAsia="Times New Roman" w:hAnsi="Times New Roman"/>
          <w:sz w:val="18"/>
          <w:szCs w:val="18"/>
          <w:color w:val="auto"/>
        </w:rPr>
        <w:t>Investment funds valued at quoted market prices.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collective trust funds and Stable value trust fund: </w:t>
      </w:r>
      <w:r>
        <w:rPr>
          <w:rFonts w:ascii="Times New Roman" w:cs="Times New Roman" w:eastAsia="Times New Roman" w:hAnsi="Times New Roman"/>
          <w:sz w:val="18"/>
          <w:szCs w:val="18"/>
          <w:color w:val="auto"/>
        </w:rPr>
        <w:t>Investments valued based upon net asset value (“NAV”) as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 and are, accordingly, excluded from the fair value hierarchy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classification of the investments by fair value hierarchy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25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619"/>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2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2"/>
                <w:szCs w:val="12"/>
                <w:color w:val="auto"/>
              </w:rPr>
            </w:pPr>
          </w:p>
        </w:tc>
        <w:tc>
          <w:tcPr>
            <w:tcW w:w="78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2"/>
                <w:szCs w:val="12"/>
                <w:color w:val="auto"/>
              </w:rPr>
            </w:pPr>
          </w:p>
        </w:tc>
        <w:tc>
          <w:tcPr>
            <w:tcW w:w="6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2"/>
                <w:szCs w:val="12"/>
                <w:color w:val="auto"/>
              </w:rPr>
            </w:pPr>
          </w:p>
        </w:tc>
        <w:tc>
          <w:tcPr>
            <w:tcW w:w="80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(thousands of</w:t>
            </w:r>
          </w:p>
        </w:tc>
        <w:tc>
          <w:tcPr>
            <w:tcW w:w="3100" w:type="dxa"/>
            <w:vAlign w:val="bottom"/>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5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fair value</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75,148</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75,148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71,529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71,529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3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403,246</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403,246</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384,904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384,904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Registered investment funds</w:t>
            </w:r>
          </w:p>
        </w:tc>
        <w:tc>
          <w:tcPr>
            <w:tcW w:w="25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290,217</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290,217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256,404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256,404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768,611</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768,611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712,837</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712,837</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5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1,244,464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1,065,551</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Stable value trust fund</w:t>
            </w:r>
          </w:p>
        </w:tc>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37,048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39,926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1,281,512</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1,105,477</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2,050,123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2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NET ASSET VALUE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Net Asset Value of the trust funds’ units held by the Plan at year end, is used as a practical expedient to estimate fair value. The NAV is based on the fair value of the underlying investments held by the fund less its liabilities. The Plan’s investments for which fair values are estimated using NAV per unit are summarized in the following table: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Unfunded</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Redemption</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Redemption</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188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Frequency</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Restrictions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Period</w:t>
            </w:r>
          </w:p>
        </w:tc>
        <w:tc>
          <w:tcPr>
            <w:tcW w:w="18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gridSpan w:val="2"/>
            <w:vMerge w:val="continue"/>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i w:val="1"/>
                <w:iCs w:val="1"/>
                <w:color w:val="auto"/>
              </w:rPr>
              <w:t>(thousands of</w:t>
            </w:r>
          </w:p>
        </w:tc>
        <w:tc>
          <w:tcPr>
            <w:tcW w:w="43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i w:val="1"/>
                <w:iCs w:val="1"/>
                <w:color w:val="auto"/>
              </w:rPr>
              <w:t>dollars)</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Large-Blend Portfolio (BlackRock)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Daily</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 day</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37,418</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28,752</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Large Cap Blend Fund (BlackRock)</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Daily</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 day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423,021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375,530</w:t>
            </w:r>
          </w:p>
        </w:tc>
        <w:tc>
          <w:tcPr>
            <w:tcW w:w="0" w:type="dxa"/>
            <w:vAlign w:val="bottom"/>
          </w:tcPr>
          <w:p>
            <w:pPr>
              <w:spacing w:after="0"/>
              <w:rPr>
                <w:sz w:val="1"/>
                <w:szCs w:val="1"/>
                <w:color w:val="auto"/>
              </w:rPr>
            </w:pPr>
          </w:p>
        </w:tc>
      </w:tr>
      <w:tr>
        <w:trPr>
          <w:trHeight w:val="216"/>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Fixed Income Index Fund (BlackRock)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Daily</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 days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22,640</w:t>
            </w: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17,250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LifePath Funds (BlackRock)</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Daily</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 days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761,385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644,019</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1,244,464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Stable Value Trust Fund (T. Rowe Price)</w:t>
            </w:r>
            <w:r>
              <w:rPr>
                <w:rFonts w:ascii="Times New Roman" w:cs="Times New Roman" w:eastAsia="Times New Roman" w:hAnsi="Times New Roman"/>
                <w:sz w:val="22"/>
                <w:szCs w:val="22"/>
                <w:color w:val="auto"/>
                <w:vertAlign w:val="superscript"/>
              </w:rPr>
              <w:t>2</w:t>
            </w:r>
          </w:p>
        </w:tc>
        <w:tc>
          <w:tcPr>
            <w:tcW w:w="1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w:t>
            </w: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Daily</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 months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37,048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39,926</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1,281,512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Pooled funds invested primarily in other collective investment funds.</w:t>
      </w:r>
    </w:p>
    <w:p>
      <w:pPr>
        <w:spacing w:after="0" w:line="29" w:lineRule="exact"/>
        <w:rPr>
          <w:sz w:val="20"/>
          <w:szCs w:val="20"/>
          <w:color w:val="auto"/>
        </w:rPr>
      </w:pPr>
    </w:p>
    <w:p>
      <w:pPr>
        <w:ind w:left="540" w:right="280" w:hanging="424"/>
        <w:spacing w:after="0" w:line="255" w:lineRule="auto"/>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Pooled funds invested in guaranteed investment contracts issued by insurance companies; investments contracts issued by banks; structured or synthetic investments contracts issued by banks, insurance companies, and other issuers; separate account contracts and other similar instruments that are intended to maintain a constant NAV.</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preparing the accompanying financial statements, Plan management has reviewed for inclusion in these financial statements and related notes all known events that have occurred after December 31, 2025 through June 24, 2026, which is the date these financial statements were issued.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ENBRIDGE EMPLOYEE SERVICES,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EMPLOYEES’ SAVINGS PLAN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EIN: 76-0697621 PN:001</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5500, SCHEDULE H, LINE 4I -</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 Description of investment</w:t>
            </w:r>
          </w:p>
        </w:tc>
        <w:tc>
          <w:tcPr>
            <w:tcW w:w="1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40" w:type="dxa"/>
            <w:vAlign w:val="bottom"/>
            <w:gridSpan w:val="2"/>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1"/>
              </w:rPr>
              <w:t>a.</w:t>
            </w:r>
          </w:p>
        </w:tc>
        <w:tc>
          <w:tcPr>
            <w:tcW w:w="4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b. Identity of issue, borrower, lessor, or similar party</w:t>
            </w:r>
          </w:p>
        </w:tc>
        <w:tc>
          <w:tcPr>
            <w:tcW w:w="48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including maturity date, rate of</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6"/>
              </w:rPr>
              <w:t>d. Cost</w:t>
            </w:r>
            <w:r>
              <w:rPr>
                <w:rFonts w:ascii="Times New Roman" w:cs="Times New Roman" w:eastAsia="Times New Roman" w:hAnsi="Times New Roman"/>
                <w:sz w:val="8"/>
                <w:szCs w:val="8"/>
                <w:color w:val="auto"/>
                <w:w w:val="96"/>
              </w:rPr>
              <w:t>2</w:t>
            </w:r>
          </w:p>
        </w:tc>
        <w:tc>
          <w:tcPr>
            <w:tcW w:w="980" w:type="dxa"/>
            <w:vAlign w:val="bottom"/>
            <w:gridSpan w:val="3"/>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e. Current</w:t>
            </w:r>
          </w:p>
        </w:tc>
        <w:tc>
          <w:tcPr>
            <w:tcW w:w="0" w:type="dxa"/>
            <w:vAlign w:val="bottom"/>
          </w:tcPr>
          <w:p>
            <w:pPr>
              <w:spacing w:after="0"/>
              <w:rPr>
                <w:sz w:val="1"/>
                <w:szCs w:val="1"/>
                <w:color w:val="auto"/>
              </w:rPr>
            </w:pPr>
          </w:p>
        </w:tc>
      </w:tr>
      <w:tr>
        <w:trPr>
          <w:trHeight w:val="169"/>
        </w:trPr>
        <w:tc>
          <w:tcPr>
            <w:tcW w:w="100" w:type="dxa"/>
            <w:vAlign w:val="bottom"/>
            <w:vMerge w:val="continue"/>
          </w:tcPr>
          <w:p>
            <w:pPr>
              <w:spacing w:after="0"/>
              <w:rPr>
                <w:sz w:val="14"/>
                <w:szCs w:val="14"/>
                <w:color w:val="auto"/>
              </w:rPr>
            </w:pPr>
          </w:p>
        </w:tc>
        <w:tc>
          <w:tcPr>
            <w:tcW w:w="4540" w:type="dxa"/>
            <w:vAlign w:val="bottom"/>
            <w:gridSpan w:val="3"/>
            <w:vMerge w:val="continue"/>
          </w:tcPr>
          <w:p>
            <w:pPr>
              <w:spacing w:after="0"/>
              <w:rPr>
                <w:sz w:val="14"/>
                <w:szCs w:val="1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par or maturity value</w:t>
            </w:r>
          </w:p>
        </w:tc>
        <w:tc>
          <w:tcPr>
            <w:tcW w:w="560" w:type="dxa"/>
            <w:vAlign w:val="bottom"/>
            <w:gridSpan w:val="2"/>
            <w:vMerge w:val="continue"/>
          </w:tcPr>
          <w:p>
            <w:pPr>
              <w:spacing w:after="0"/>
              <w:rPr>
                <w:sz w:val="14"/>
                <w:szCs w:val="14"/>
                <w:color w:val="auto"/>
              </w:rPr>
            </w:pP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48"/>
        </w:trPr>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(thousands of dollars)</w:t>
            </w:r>
          </w:p>
        </w:tc>
        <w:tc>
          <w:tcPr>
            <w:tcW w:w="100" w:type="dxa"/>
            <w:vAlign w:val="bottom"/>
          </w:tcPr>
          <w:p>
            <w:pPr>
              <w:spacing w:after="0"/>
              <w:rPr>
                <w:sz w:val="12"/>
                <w:szCs w:val="12"/>
                <w:color w:val="auto"/>
              </w:rPr>
            </w:pPr>
          </w:p>
        </w:tc>
        <w:tc>
          <w:tcPr>
            <w:tcW w:w="4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Dodge &amp; Cox International Stock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14,944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Dodge &amp; Cox Income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40,656</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Hartford Schroders Emerging Markets Equity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7,145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 Rowe Price Blue Chip Growth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84,678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Rowe Price Government Money</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 Rowe Price Mid-Cap Growth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49,775</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 Rowe Price Institutional Small-Cap Stock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21,100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Vanguard Equity-Income Adm</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42,174</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73,043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MFS Institutional International Equity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29,745</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Schwab Personal Choice Retirement Account</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LifePath Index 2030</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102,066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LifePath Index 2035</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113,333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LifePath Index 2040</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108,642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LifePath Index 2045</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120,944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LifePath Index 2050</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108,805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LifePath Index 2055</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76,186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LifePath Index 2060</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27,661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LifePath Index 2065</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LifePath Index 2070</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639</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LifePath Index Retirement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91,491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MSCI ACWI</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37,418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line="216" w:lineRule="exact"/>
              <w:rPr>
                <w:sz w:val="20"/>
                <w:szCs w:val="20"/>
                <w:color w:val="auto"/>
              </w:rPr>
            </w:pPr>
            <w:r>
              <w:rPr>
                <w:rFonts w:ascii="Times New Roman" w:cs="Times New Roman" w:eastAsia="Times New Roman" w:hAnsi="Times New Roman"/>
                <w:sz w:val="18"/>
                <w:szCs w:val="18"/>
                <w:color w:val="auto"/>
              </w:rPr>
              <w:t>BlackRock Russell 1000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Value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14,154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8"/>
                <w:szCs w:val="18"/>
                <w:color w:val="auto"/>
              </w:rPr>
              <w:t>BlackRock Russell 1000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Growth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99,220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Equity Index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247,954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BlackRock US Debt Index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22,640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Extended Equity Market Index Fund</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61,693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 Rowe Price Stable Value Trust Fund</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collective trust fund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37,048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Enbridge Inc. Stock</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403,246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2,050,123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w:t>
            </w:r>
          </w:p>
        </w:tc>
        <w:tc>
          <w:tcPr>
            <w:tcW w:w="4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 ranging from 4.25% to 9.5% maturing through 2034</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25,437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2,075,560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Parties-in-Interest to the Plan.</w:t>
      </w:r>
    </w:p>
    <w:p>
      <w:pPr>
        <w:spacing w:after="0" w:line="29" w:lineRule="exact"/>
        <w:rPr>
          <w:sz w:val="20"/>
          <w:szCs w:val="20"/>
          <w:color w:val="auto"/>
        </w:rPr>
      </w:pPr>
    </w:p>
    <w:p>
      <w:pPr>
        <w:ind w:left="5540" w:right="4880" w:hanging="5424"/>
        <w:spacing w:after="0" w:line="356" w:lineRule="auto"/>
        <w:tabs>
          <w:tab w:leader="none" w:pos="554"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Cost information is omitted because these investments are participant-directed. </w:t>
      </w:r>
      <w:r>
        <w:rPr>
          <w:rFonts w:ascii="Times New Roman" w:cs="Times New Roman" w:eastAsia="Times New Roman" w:hAnsi="Times New Roman"/>
          <w:sz w:val="17"/>
          <w:szCs w:val="17"/>
          <w:color w:val="auto"/>
        </w:rPr>
        <w:t>12</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2"/>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18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14"/>
                <w:szCs w:val="14"/>
                <w:color w:val="auto"/>
              </w:rPr>
            </w:pPr>
          </w:p>
        </w:tc>
        <w:tc>
          <w:tcPr>
            <w:tcW w:w="99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Consent of Independent Registered Accounting Firm</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0" w:type="dxa"/>
            <w:vAlign w:val="bottom"/>
            <w:tcBorders>
              <w:top w:val="single" w:sz="8" w:color="0000EE"/>
            </w:tcBorders>
          </w:tcPr>
          <w:p>
            <w:pPr>
              <w:spacing w:after="0"/>
              <w:rPr>
                <w:sz w:val="24"/>
                <w:szCs w:val="24"/>
                <w:color w:val="auto"/>
              </w:rPr>
            </w:pPr>
          </w:p>
        </w:tc>
        <w:tc>
          <w:tcPr>
            <w:tcW w:w="6180" w:type="dxa"/>
            <w:vAlign w:val="bottom"/>
          </w:tcPr>
          <w:p>
            <w:pPr>
              <w:jc w:val="right"/>
              <w:ind w:right="5339"/>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has duly caused this annual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Enbridge Employee Services, Inc. Employees’ Savings Plan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Adrian Cupido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5715</wp:posOffset>
            </wp:positionV>
            <wp:extent cx="3145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Adrian Cupido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VP Finance and Controller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4" w:name="page15"/>
    <w:bookmarkEnd w:id="14"/>
    <w:p>
      <w:pPr>
        <w:ind w:left="98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173990</wp:posOffset>
            </wp:positionV>
            <wp:extent cx="1337310" cy="651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54" w:lineRule="exact"/>
        <w:rPr>
          <w:sz w:val="20"/>
          <w:szCs w:val="20"/>
          <w:color w:val="auto"/>
        </w:rPr>
      </w:pPr>
    </w:p>
    <w:p>
      <w:pPr>
        <w:ind w:left="1060"/>
        <w:spacing w:after="0"/>
        <w:rPr>
          <w:sz w:val="20"/>
          <w:szCs w:val="20"/>
          <w:color w:val="auto"/>
        </w:rPr>
      </w:pPr>
      <w:r>
        <w:rPr>
          <w:sz w:val="1"/>
          <w:szCs w:val="1"/>
          <w:color w:val="auto"/>
        </w:rPr>
        <w:drawing>
          <wp:inline distT="0" distB="0" distL="0" distR="0">
            <wp:extent cx="591185" cy="5314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185" cy="53149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-555625</wp:posOffset>
            </wp:positionV>
            <wp:extent cx="8890" cy="6566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6566535"/>
                    </a:xfrm>
                    <a:prstGeom prst="rect">
                      <a:avLst/>
                    </a:prstGeom>
                    <a:noFill/>
                  </pic:spPr>
                </pic:pic>
              </a:graphicData>
            </a:graphic>
          </wp:anchor>
        </w:drawing>
      </w:r>
    </w:p>
    <w:p>
      <w:pPr>
        <w:spacing w:after="0" w:line="324"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2380" w:right="160"/>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Registration Statement Nos. 333-233274, 333-250121, and 333-274087 on Form S-8 of Enbridge Inc. of our report dated June 24, 2026, appearing in the Annual Report on Form 11-K of Enbridge Employee Services, Inc. Employees’ Savings Plan for the year ended December 31, 2025.</w:t>
      </w:r>
    </w:p>
    <w:p>
      <w:pPr>
        <w:spacing w:after="0" w:line="15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 McConnell &amp; Jones LLP</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4"/>
          <w:szCs w:val="14"/>
          <w:color w:val="auto"/>
        </w:rPr>
        <w:t>4828 Loop Central Dr.</w:t>
      </w:r>
    </w:p>
    <w:p>
      <w:pPr>
        <w:spacing w:after="0" w:line="109"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4"/>
          <w:szCs w:val="14"/>
          <w:color w:val="auto"/>
        </w:rPr>
        <w:t>Suite 1000</w:t>
      </w:r>
    </w:p>
    <w:p>
      <w:pPr>
        <w:spacing w:after="0" w:line="109"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4"/>
          <w:szCs w:val="14"/>
          <w:color w:val="auto"/>
        </w:rPr>
        <w:t>Houston, TX 77081</w:t>
      </w:r>
    </w:p>
    <w:p>
      <w:pPr>
        <w:spacing w:after="0" w:line="109"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4"/>
          <w:szCs w:val="14"/>
          <w:color w:val="auto"/>
        </w:rPr>
        <w:t>Phone: 713.968.1600</w:t>
      </w:r>
    </w:p>
    <w:p>
      <w:pPr>
        <w:spacing w:after="0" w:line="109"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4"/>
          <w:szCs w:val="14"/>
          <w:color w:val="auto"/>
        </w:rPr>
        <w:t>Fax: 713.968.1601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WWW.MCCONNELLJONES.COM</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Diverse Thinking | Unique Perspectives</w:t>
      </w:r>
    </w:p>
    <w:sectPr>
      <w:pgSz w:w="11900" w:h="16838" w:orient="portrait"/>
      <w:cols w:equalWidth="0" w:num="1">
        <w:col w:w="10780"/>
      </w:cols>
      <w:pgMar w:left="68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2026-06-29T12:00:54Z</dcterms:created>
  <dcterms:modified xsi:type="dcterms:W3CDTF">2026-06-29T12:00:54Z</dcterms:modified>
</cp:coreProperties>
</file>