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333-289186</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March 24, 2026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Prospectus Dated August 1,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US$2,000,000,000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2627630</wp:posOffset>
            </wp:positionH>
            <wp:positionV relativeFrom="paragraph">
              <wp:posOffset>120650</wp:posOffset>
            </wp:positionV>
            <wp:extent cx="1919605" cy="421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9605" cy="421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Enbridge Inc.</w:t>
      </w:r>
    </w:p>
    <w:p>
      <w:pPr>
        <w:spacing w:after="0" w:line="17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US$1,000,000,000 4.850% Senior Notes due 2031</w:t>
      </w:r>
    </w:p>
    <w:p>
      <w:pPr>
        <w:spacing w:after="0" w:line="1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US$1,000,000,000 5.450% Senior Notes due 2036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Fully and Unconditionally Guaranteed by</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Enbridge Energy Partners, L.P. and Spectra Energy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106045</wp:posOffset>
            </wp:positionV>
            <wp:extent cx="17964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18" w:lineRule="exact"/>
        <w:rPr>
          <w:sz w:val="24"/>
          <w:szCs w:val="24"/>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are offering US$1,000,000,000 aggregate principal amount of 4.850% Senior Notes due 2031 (the “2031 Notes”) and US$1,000,000,000 aggregate principal amount of 5.450% Senior Notes due 2036 (the “2036 Notes” and, together with the 2031 Notes, the “Notes”). The 2031 Notes will mature on March 27, 2031 and the 2036 Notes will mature on March 27, 2036. The 2031 Notes will bear interest at the rate of 4.850% per annum, payable semi-annually in arrears on March 27 and September 27, beginning on September 27, 2026. The 2036 Notes will bear interest at the rate of 5.450% per annum, payable semi-annually in arrears on March 27 and September 27, beginning on September 27, 2026.</w:t>
      </w:r>
    </w:p>
    <w:p>
      <w:pPr>
        <w:spacing w:after="0" w:line="146" w:lineRule="exact"/>
        <w:rPr>
          <w:sz w:val="24"/>
          <w:szCs w:val="24"/>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We may, at our option, redeem any series of the Notes, in whole or in part, at any time or from time to time, at the applicable redemption prices and subject to the conditions described under “Description of the Notes and the Guarantees — Redemption — Optional Redemption”. We may also redeem any series of the Notes, in whole at any time, if certain changes affecting Canadian withholding taxes occur. See “Description of the Notes and the Guarantees — Redemption — Tax Redemption”.</w:t>
      </w:r>
    </w:p>
    <w:p>
      <w:pPr>
        <w:spacing w:after="0" w:line="142" w:lineRule="exact"/>
        <w:rPr>
          <w:sz w:val="24"/>
          <w:szCs w:val="24"/>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Notes will be our direct, unsecured and unsubordinated obligations and will rank equally with all of our existing and future unsecured and unsubordinated debt. See “Description of the Notes and the Guarantees — General”. The guarantees of the Notes will be direct, unsecured and unsubordinated obligations of Enbridge Energy Partners, L.P. and Spectra Energy Partners, LP (together, the “Guarantors”), two of our indirect, wholly-owned subsidiaries, and will rank equally with all of the applicable Guarantor’s existing and future unsecured and unsubordinated debt. See “Description of the Notes and the Guarantees —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71659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388" w:right="319" w:bottom="1440" w:gutter="0" w:footer="0" w:header="0"/>
        </w:sectPr>
      </w:pPr>
    </w:p>
    <w:bookmarkStart w:id="1" w:name="page2"/>
    <w:bookmarkEnd w:id="1"/>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Each series of the Notes is a new issue of securities with no established trading market. The Notes will not be listed on any automated dealer quotation system, and we do not intend to apply for listing of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94615</wp:posOffset>
            </wp:positionV>
            <wp:extent cx="17964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296"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4"/>
          <w:szCs w:val="14"/>
          <w:b w:val="1"/>
          <w:bCs w:val="1"/>
          <w:color w:val="auto"/>
        </w:rPr>
        <w:t>The enforcement by investors of civil liabilities under United States federal securities laws may be affected adversely by the fact that we are incorporated and organized under the laws of Canada, that some or all of our officers and directors are residents of Canada, that some or all of the experts named in this prospectus supplement or the accompanying prospectus are residents of Canada, and that all or a substantial portion of our assets and said persons are located outside the United States.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Investing in the Notes involves risks. See “Risk Factors” beginning on page S-6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113665</wp:posOffset>
            </wp:positionV>
            <wp:extent cx="17964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 2031 Note</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 2036 Note</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CCEEFF"/>
            </w:tcBorders>
          </w:tcPr>
          <w:p>
            <w:pPr>
              <w:spacing w:after="0"/>
              <w:rPr>
                <w:sz w:val="15"/>
                <w:szCs w:val="15"/>
                <w:color w:val="auto"/>
              </w:rPr>
            </w:pPr>
          </w:p>
        </w:tc>
      </w:tr>
      <w:tr>
        <w:trPr>
          <w:trHeight w:val="17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99.860%</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998,600,000</w:t>
            </w:r>
          </w:p>
        </w:tc>
        <w:tc>
          <w:tcPr>
            <w:tcW w:w="4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93"/>
              </w:rPr>
              <w:t>(1)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99.924%</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999,240,000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(1)</w:t>
            </w:r>
          </w:p>
        </w:tc>
      </w:tr>
      <w:tr>
        <w:trPr>
          <w:trHeight w:val="163"/>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0.600%</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4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0.650%</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11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6,500,000</w:t>
            </w: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us (before expenses)</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99.260%</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1360" w:type="dxa"/>
            <w:vAlign w:val="bottom"/>
            <w:gridSpan w:val="2"/>
            <w:shd w:val="clear" w:color="auto" w:fill="CCEEFF"/>
          </w:tcPr>
          <w:p>
            <w:pPr>
              <w:jc w:val="right"/>
              <w:ind w:right="203"/>
              <w:spacing w:after="0" w:line="194" w:lineRule="exact"/>
              <w:rPr>
                <w:sz w:val="20"/>
                <w:szCs w:val="20"/>
                <w:color w:val="auto"/>
              </w:rPr>
            </w:pPr>
            <w:r>
              <w:rPr>
                <w:rFonts w:ascii="Times New Roman" w:cs="Times New Roman" w:eastAsia="Times New Roman" w:hAnsi="Times New Roman"/>
                <w:sz w:val="14"/>
                <w:szCs w:val="14"/>
                <w:color w:val="auto"/>
              </w:rPr>
              <w:t>992,600,000</w:t>
            </w:r>
            <w:r>
              <w:rPr>
                <w:rFonts w:ascii="Times New Roman" w:cs="Times New Roman" w:eastAsia="Times New Roman" w:hAnsi="Times New Roman"/>
                <w:sz w:val="22"/>
                <w:szCs w:val="22"/>
                <w:color w:val="auto"/>
                <w:vertAlign w:val="superscript"/>
              </w:rPr>
              <w:t>(1)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99.274%</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US$</w:t>
            </w:r>
          </w:p>
        </w:tc>
        <w:tc>
          <w:tcPr>
            <w:tcW w:w="11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4"/>
                <w:szCs w:val="14"/>
                <w:color w:val="auto"/>
              </w:rPr>
              <w:t>992,740,000</w:t>
            </w:r>
            <w:r>
              <w:rPr>
                <w:rFonts w:ascii="Times New Roman" w:cs="Times New Roman" w:eastAsia="Times New Roman" w:hAnsi="Times New Roman"/>
                <w:sz w:val="22"/>
                <w:szCs w:val="22"/>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17900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Plus accrued interest, if any, from March 27, 2026, if settlement occurs after that date.</w:t>
      </w:r>
    </w:p>
    <w:p>
      <w:pPr>
        <w:spacing w:after="0" w:line="16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 deemed to represent and warrant to us that it is not, and will not be, for its taxable year that includes the date of the original issuance of the Notes, an SFE.</w:t>
      </w:r>
    </w:p>
    <w:p>
      <w:pPr>
        <w:spacing w:after="0" w:line="142"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The underwriters expect to deliver the Notes to the purchasers in book-entry form through the facilities of The Depository Trust Company and its direct and indirect participants, including Euroclear Bank S.A./N.V., as operator of the Euroclear System (“Euroclear”), and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(“Clearstream”), on or about March 27,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80" w:type="dxa"/>
            <w:vAlign w:val="bottom"/>
          </w:tcPr>
          <w:p>
            <w:pPr>
              <w:spacing w:after="0"/>
              <w:rPr>
                <w:sz w:val="15"/>
                <w:szCs w:val="15"/>
                <w:color w:val="auto"/>
              </w:rPr>
            </w:pPr>
          </w:p>
        </w:tc>
        <w:tc>
          <w:tcPr>
            <w:tcW w:w="43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7"/>
              </w:rPr>
              <w:t>Joint Book-Running Managers</w:t>
            </w:r>
          </w:p>
        </w:tc>
        <w:tc>
          <w:tcPr>
            <w:tcW w:w="3460" w:type="dxa"/>
            <w:vAlign w:val="bottom"/>
          </w:tcPr>
          <w:p>
            <w:pPr>
              <w:spacing w:after="0"/>
              <w:rPr>
                <w:sz w:val="15"/>
                <w:szCs w:val="15"/>
                <w:color w:val="auto"/>
              </w:rPr>
            </w:pPr>
          </w:p>
        </w:tc>
      </w:tr>
      <w:tr>
        <w:trPr>
          <w:trHeight w:val="327"/>
        </w:trPr>
        <w:tc>
          <w:tcPr>
            <w:tcW w:w="34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BofA Securities</w:t>
            </w:r>
          </w:p>
        </w:tc>
        <w:tc>
          <w:tcPr>
            <w:tcW w:w="2720" w:type="dxa"/>
            <w:vAlign w:val="bottom"/>
          </w:tcPr>
          <w:p>
            <w:pPr>
              <w:jc w:val="center"/>
              <w:ind w:left="1132"/>
              <w:spacing w:after="0"/>
              <w:rPr>
                <w:sz w:val="20"/>
                <w:szCs w:val="20"/>
                <w:color w:val="auto"/>
              </w:rPr>
            </w:pPr>
            <w:r>
              <w:rPr>
                <w:rFonts w:ascii="Times New Roman" w:cs="Times New Roman" w:eastAsia="Times New Roman" w:hAnsi="Times New Roman"/>
                <w:sz w:val="14"/>
                <w:szCs w:val="14"/>
                <w:b w:val="1"/>
                <w:bCs w:val="1"/>
                <w:color w:val="auto"/>
                <w:w w:val="95"/>
              </w:rPr>
              <w:t>Citigroup</w:t>
            </w:r>
          </w:p>
        </w:tc>
        <w:tc>
          <w:tcPr>
            <w:tcW w:w="3460" w:type="dxa"/>
            <w:vAlign w:val="bottom"/>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6"/>
              </w:rPr>
              <w:t>J.P. Morgan</w:t>
            </w:r>
          </w:p>
        </w:tc>
      </w:tr>
      <w:tr>
        <w:trPr>
          <w:trHeight w:val="327"/>
        </w:trPr>
        <w:tc>
          <w:tcPr>
            <w:tcW w:w="3480" w:type="dxa"/>
            <w:vAlign w:val="bottom"/>
          </w:tcPr>
          <w:p>
            <w:pPr>
              <w:jc w:val="center"/>
              <w:ind w:left="2092"/>
              <w:spacing w:after="0"/>
              <w:rPr>
                <w:sz w:val="20"/>
                <w:szCs w:val="20"/>
                <w:color w:val="auto"/>
              </w:rPr>
            </w:pPr>
            <w:r>
              <w:rPr>
                <w:rFonts w:ascii="Times New Roman" w:cs="Times New Roman" w:eastAsia="Times New Roman" w:hAnsi="Times New Roman"/>
                <w:sz w:val="14"/>
                <w:szCs w:val="14"/>
                <w:b w:val="1"/>
                <w:bCs w:val="1"/>
                <w:color w:val="auto"/>
                <w:w w:val="95"/>
              </w:rPr>
              <w:t>Mizuho</w:t>
            </w:r>
          </w:p>
        </w:tc>
        <w:tc>
          <w:tcPr>
            <w:tcW w:w="1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60" w:type="dxa"/>
            <w:vAlign w:val="bottom"/>
          </w:tcPr>
          <w:p>
            <w:pPr>
              <w:jc w:val="center"/>
              <w:ind w:right="2092"/>
              <w:spacing w:after="0"/>
              <w:rPr>
                <w:sz w:val="20"/>
                <w:szCs w:val="20"/>
                <w:color w:val="auto"/>
              </w:rPr>
            </w:pPr>
            <w:r>
              <w:rPr>
                <w:rFonts w:ascii="Times New Roman" w:cs="Times New Roman" w:eastAsia="Times New Roman" w:hAnsi="Times New Roman"/>
                <w:sz w:val="14"/>
                <w:szCs w:val="14"/>
                <w:b w:val="1"/>
                <w:bCs w:val="1"/>
                <w:color w:val="auto"/>
                <w:w w:val="96"/>
              </w:rPr>
              <w:t>SMBC Nikko</w:t>
            </w:r>
          </w:p>
        </w:tc>
      </w:tr>
      <w:tr>
        <w:trPr>
          <w:trHeight w:val="327"/>
        </w:trPr>
        <w:tc>
          <w:tcPr>
            <w:tcW w:w="3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center"/>
              <w:ind w:right="1572"/>
              <w:spacing w:after="0"/>
              <w:rPr>
                <w:sz w:val="20"/>
                <w:szCs w:val="20"/>
                <w:color w:val="auto"/>
              </w:rPr>
            </w:pPr>
            <w:r>
              <w:rPr>
                <w:rFonts w:ascii="Times New Roman" w:cs="Times New Roman" w:eastAsia="Times New Roman" w:hAnsi="Times New Roman"/>
                <w:sz w:val="14"/>
                <w:szCs w:val="14"/>
                <w:i w:val="1"/>
                <w:iCs w:val="1"/>
                <w:color w:val="auto"/>
                <w:w w:val="97"/>
              </w:rPr>
              <w:t>Co-Managers</w:t>
            </w:r>
          </w:p>
        </w:tc>
        <w:tc>
          <w:tcPr>
            <w:tcW w:w="3460" w:type="dxa"/>
            <w:vAlign w:val="bottom"/>
          </w:tcPr>
          <w:p>
            <w:pPr>
              <w:spacing w:after="0"/>
              <w:rPr>
                <w:sz w:val="24"/>
                <w:szCs w:val="24"/>
                <w:color w:val="auto"/>
              </w:rPr>
            </w:pPr>
          </w:p>
        </w:tc>
      </w:tr>
      <w:tr>
        <w:trPr>
          <w:trHeight w:val="327"/>
        </w:trPr>
        <w:tc>
          <w:tcPr>
            <w:tcW w:w="3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Credit Agricole CIB</w:t>
            </w: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Deutsche Bank Securities</w:t>
            </w:r>
          </w:p>
        </w:tc>
        <w:tc>
          <w:tcPr>
            <w:tcW w:w="2720" w:type="dxa"/>
            <w:vAlign w:val="bottom"/>
          </w:tcPr>
          <w:p>
            <w:pPr>
              <w:jc w:val="center"/>
              <w:ind w:left="1132"/>
              <w:spacing w:after="0"/>
              <w:rPr>
                <w:sz w:val="20"/>
                <w:szCs w:val="20"/>
                <w:color w:val="auto"/>
              </w:rPr>
            </w:pPr>
            <w:r>
              <w:rPr>
                <w:rFonts w:ascii="Times New Roman" w:cs="Times New Roman" w:eastAsia="Times New Roman" w:hAnsi="Times New Roman"/>
                <w:sz w:val="14"/>
                <w:szCs w:val="14"/>
                <w:b w:val="1"/>
                <w:bCs w:val="1"/>
                <w:color w:val="auto"/>
                <w:w w:val="95"/>
              </w:rPr>
              <w:t>Morgan Stanley</w:t>
            </w:r>
          </w:p>
        </w:tc>
        <w:tc>
          <w:tcPr>
            <w:tcW w:w="346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8"/>
              </w:rPr>
              <w:t>MUFG</w:t>
            </w:r>
          </w:p>
        </w:tc>
      </w:tr>
      <w:tr>
        <w:trPr>
          <w:trHeight w:val="327"/>
        </w:trPr>
        <w:tc>
          <w:tcPr>
            <w:tcW w:w="3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PNC Capital Markets LLC</w:t>
            </w: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Truist Securities</w:t>
            </w:r>
          </w:p>
        </w:tc>
        <w:tc>
          <w:tcPr>
            <w:tcW w:w="2720" w:type="dxa"/>
            <w:vAlign w:val="bottom"/>
          </w:tcPr>
          <w:p>
            <w:pPr>
              <w:jc w:val="center"/>
              <w:ind w:left="1132"/>
              <w:spacing w:after="0"/>
              <w:rPr>
                <w:sz w:val="20"/>
                <w:szCs w:val="20"/>
                <w:color w:val="auto"/>
              </w:rPr>
            </w:pPr>
            <w:r>
              <w:rPr>
                <w:rFonts w:ascii="Times New Roman" w:cs="Times New Roman" w:eastAsia="Times New Roman" w:hAnsi="Times New Roman"/>
                <w:sz w:val="14"/>
                <w:szCs w:val="14"/>
                <w:b w:val="1"/>
                <w:bCs w:val="1"/>
                <w:color w:val="auto"/>
                <w:w w:val="96"/>
              </w:rPr>
              <w:t>SOCIETE GENERALE</w:t>
            </w:r>
          </w:p>
        </w:tc>
        <w:tc>
          <w:tcPr>
            <w:tcW w:w="3460" w:type="dxa"/>
            <w:vAlign w:val="bottom"/>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6"/>
              </w:rPr>
              <w:t>Santander</w:t>
            </w:r>
          </w:p>
        </w:tc>
      </w:tr>
      <w:tr>
        <w:trPr>
          <w:trHeight w:val="327"/>
        </w:trPr>
        <w:tc>
          <w:tcPr>
            <w:tcW w:w="3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Roberts &amp; Ryan</w:t>
            </w:r>
          </w:p>
        </w:tc>
        <w:tc>
          <w:tcPr>
            <w:tcW w:w="2720" w:type="dxa"/>
            <w:vAlign w:val="bottom"/>
          </w:tcPr>
          <w:p>
            <w:pPr>
              <w:jc w:val="center"/>
              <w:ind w:left="1132"/>
              <w:spacing w:after="0"/>
              <w:rPr>
                <w:sz w:val="20"/>
                <w:szCs w:val="20"/>
                <w:color w:val="auto"/>
              </w:rPr>
            </w:pPr>
            <w:r>
              <w:rPr>
                <w:rFonts w:ascii="Times New Roman" w:cs="Times New Roman" w:eastAsia="Times New Roman" w:hAnsi="Times New Roman"/>
                <w:sz w:val="14"/>
                <w:szCs w:val="14"/>
                <w:b w:val="1"/>
                <w:bCs w:val="1"/>
                <w:color w:val="auto"/>
                <w:w w:val="98"/>
              </w:rPr>
              <w:t>Academy Securities</w:t>
            </w:r>
          </w:p>
        </w:tc>
        <w:tc>
          <w:tcPr>
            <w:tcW w:w="346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ICBC Standard Bank</w:t>
            </w:r>
          </w:p>
        </w:tc>
      </w:tr>
      <w:tr>
        <w:trPr>
          <w:trHeight w:val="327"/>
        </w:trPr>
        <w:tc>
          <w:tcPr>
            <w:tcW w:w="3480" w:type="dxa"/>
            <w:vAlign w:val="bottom"/>
          </w:tcPr>
          <w:p>
            <w:pPr>
              <w:jc w:val="center"/>
              <w:ind w:left="2112"/>
              <w:spacing w:after="0"/>
              <w:rPr>
                <w:sz w:val="20"/>
                <w:szCs w:val="20"/>
                <w:color w:val="auto"/>
              </w:rPr>
            </w:pPr>
            <w:r>
              <w:rPr>
                <w:rFonts w:ascii="Times New Roman" w:cs="Times New Roman" w:eastAsia="Times New Roman" w:hAnsi="Times New Roman"/>
                <w:sz w:val="14"/>
                <w:szCs w:val="14"/>
                <w:b w:val="1"/>
                <w:bCs w:val="1"/>
                <w:color w:val="auto"/>
                <w:w w:val="97"/>
              </w:rPr>
              <w:t>Loop Capital Markets</w:t>
            </w:r>
          </w:p>
        </w:tc>
        <w:tc>
          <w:tcPr>
            <w:tcW w:w="1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60" w:type="dxa"/>
            <w:vAlign w:val="bottom"/>
          </w:tcPr>
          <w:p>
            <w:pPr>
              <w:jc w:val="center"/>
              <w:ind w:right="2092"/>
              <w:spacing w:after="0"/>
              <w:rPr>
                <w:sz w:val="20"/>
                <w:szCs w:val="20"/>
                <w:color w:val="auto"/>
              </w:rPr>
            </w:pPr>
            <w:r>
              <w:rPr>
                <w:rFonts w:ascii="Times New Roman" w:cs="Times New Roman" w:eastAsia="Times New Roman" w:hAnsi="Times New Roman"/>
                <w:sz w:val="14"/>
                <w:szCs w:val="14"/>
                <w:b w:val="1"/>
                <w:bCs w:val="1"/>
                <w:color w:val="auto"/>
                <w:w w:val="97"/>
              </w:rPr>
              <w:t>Ramirez &amp; Co., Inc.</w:t>
            </w:r>
          </w:p>
        </w:tc>
      </w:tr>
      <w:tr>
        <w:trPr>
          <w:trHeight w:val="327"/>
        </w:trPr>
        <w:tc>
          <w:tcPr>
            <w:tcW w:w="3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center"/>
              <w:ind w:right="1552"/>
              <w:spacing w:after="0"/>
              <w:rPr>
                <w:sz w:val="20"/>
                <w:szCs w:val="20"/>
                <w:color w:val="auto"/>
              </w:rPr>
            </w:pPr>
            <w:r>
              <w:rPr>
                <w:rFonts w:ascii="Times New Roman" w:cs="Times New Roman" w:eastAsia="Times New Roman" w:hAnsi="Times New Roman"/>
                <w:sz w:val="14"/>
                <w:szCs w:val="14"/>
                <w:color w:val="auto"/>
                <w:w w:val="96"/>
              </w:rPr>
              <w:t>March 24, 2026</w:t>
            </w:r>
          </w:p>
        </w:tc>
        <w:tc>
          <w:tcPr>
            <w:tcW w:w="3460" w:type="dxa"/>
            <w:vAlign w:val="bottom"/>
          </w:tcPr>
          <w:p>
            <w:pPr>
              <w:spacing w:after="0"/>
              <w:rPr>
                <w:sz w:val="24"/>
                <w:szCs w:val="24"/>
                <w:color w:val="auto"/>
              </w:rPr>
            </w:pPr>
          </w:p>
        </w:tc>
      </w:tr>
      <w:tr>
        <w:trPr>
          <w:trHeight w:val="511"/>
        </w:trPr>
        <w:tc>
          <w:tcPr>
            <w:tcW w:w="3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IMPORTANT NOTICE ABOUT INFORMATION IN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 SUPPLEMENT AND THE ACCOMPANYING PROSPECTUS</w:t>
      </w:r>
    </w:p>
    <w:p>
      <w:pPr>
        <w:spacing w:after="0" w:line="154"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the Notes. The second part, the accompanying prospectus, gives more general information, some of which may not apply to the Notes. The accompanying prospectus, dated August 1, 2025, is referred to as the “prospectus” in this prospectus supplement.</w:t>
      </w:r>
    </w:p>
    <w:p>
      <w:pPr>
        <w:spacing w:after="0" w:line="13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b w:val="1"/>
          <w:bCs w:val="1"/>
          <w:color w:val="auto"/>
        </w:rPr>
        <w:t>We are responsible for the information contained and incorporated by reference in this prospectus supplement, the accompanying prospectus and any related free writing prospectus we prepare or authorize. We have not authorized anyone to give you any other information, and we take no responsibility for any other information that others may give you. We are not making an offer of the Notes in any jurisdiction where the offer is not permitted. You should bear in mind that although the information contained in, or incorporated by reference in, this prospectus supplement or the accompanying prospectus is intended to be accurate as of the date on the front of such documents, such information may also be amended, supplemented or updated by the subsequent filing of additional documents deemed by law to be or otherwise incorporated by reference into this prospectus supplement or the accompanying prospectus and by any amendments to the prospectus or subsequently filed prospectus supplements.</w:t>
      </w:r>
    </w:p>
    <w:p>
      <w:pPr>
        <w:spacing w:after="0" w:line="14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b w:val="1"/>
          <w:bCs w:val="1"/>
          <w:color w:val="auto"/>
        </w:rPr>
        <w:t>To the extent there is a conflict between the information contained in this prospectus supplement or any “free writing prospectus” we may authorize to be delivered to you and the information contained in the accompanying prospectus or any document incorporated by reference therein filed prior to the date of this prospectus supplement, you should rely on the information in this prospectus supplement or such free writing prospectus, as the case may be.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4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In this prospectus supplement, all capitalized terms and acronyms used and not otherwise defined herein have the meanings provided in the prospectus. In this prospectus supplement, the prospectus and any document incorporated by reference, unless otherwise specified or the context otherwise requires, all dollar amounts are expressed in Canadian dollars or “$”. “U.S. dollars” or “US$” means the lawful currency of the United States. Unless otherwise indicated, all financial information included in this prospectus supplement, the prospectus and any document incorporated by reference is determined using U.S. GAAP. “U.S. GAAP” means generally accepted accounting principles in the United States.</w:t>
      </w:r>
    </w:p>
    <w:p>
      <w:pPr>
        <w:spacing w:after="0" w:line="14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Except as set forth under “Description of the Notes and the Guarantees” and unless otherwise specified or the context otherwise requires, all references in this prospectus supplement, the prospectus and any document incorporated by reference to “Enbridge”, the “Corporation”, “we”, “us” and “our” mean Enbridge Inc. and its subsidiaries.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380" w:type="dxa"/>
            <w:vAlign w:val="bottom"/>
            <w:gridSpan w:val="3"/>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8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w w:val="96"/>
              </w:rPr>
              <w:t>Prospectus Supplement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0"/>
              </w:rPr>
              <w:t>Page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920" w:type="dxa"/>
            <w:vAlign w:val="bottom"/>
            <w:gridSpan w:val="15"/>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6"/>
              </w:rPr>
              <w:t>Special Note Regarding Forward-Looking Statements</w:t>
            </w:r>
          </w:p>
        </w:tc>
        <w:tc>
          <w:tcPr>
            <w:tcW w:w="980" w:type="dxa"/>
            <w:vAlign w:val="bottom"/>
            <w:shd w:val="clear" w:color="auto" w:fill="CCEEFF"/>
          </w:tcPr>
          <w:p>
            <w:pPr>
              <w:spacing w:after="0"/>
              <w:rPr>
                <w:sz w:val="12"/>
                <w:szCs w:val="12"/>
                <w:color w:val="auto"/>
              </w:rPr>
            </w:pPr>
          </w:p>
        </w:tc>
        <w:tc>
          <w:tcPr>
            <w:tcW w:w="7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0000EE"/>
                <w:w w:val="77"/>
              </w:rPr>
              <w:t>S-iii</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Borders>
              <w:top w:val="single" w:sz="8" w:color="0000EE"/>
            </w:tcBorders>
            <w:gridSpan w:val="15"/>
          </w:tcPr>
          <w:p>
            <w:pPr>
              <w:spacing w:after="0" w:line="13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980" w:type="dxa"/>
            <w:vAlign w:val="bottom"/>
            <w:tcBorders>
              <w:top w:val="single" w:sz="8" w:color="CCEEFF"/>
            </w:tcBorders>
          </w:tcPr>
          <w:p>
            <w:pPr>
              <w:spacing w:after="0"/>
              <w:rPr>
                <w:sz w:val="11"/>
                <w:szCs w:val="11"/>
                <w:color w:val="auto"/>
              </w:rPr>
            </w:pPr>
          </w:p>
        </w:tc>
        <w:tc>
          <w:tcPr>
            <w:tcW w:w="7180" w:type="dxa"/>
            <w:vAlign w:val="bottom"/>
            <w:tcBorders>
              <w:top w:val="single" w:sz="8" w:color="CCEEFF"/>
            </w:tcBorders>
          </w:tcPr>
          <w:p>
            <w:pPr>
              <w:spacing w:after="0"/>
              <w:rPr>
                <w:sz w:val="11"/>
                <w:szCs w:val="11"/>
                <w:color w:val="auto"/>
              </w:rPr>
            </w:pPr>
          </w:p>
        </w:tc>
        <w:tc>
          <w:tcPr>
            <w:tcW w:w="180" w:type="dxa"/>
            <w:vAlign w:val="bottom"/>
            <w:tcBorders>
              <w:top w:val="single" w:sz="8" w:color="0000EE"/>
            </w:tcBorders>
          </w:tcPr>
          <w:p>
            <w:pPr>
              <w:jc w:val="right"/>
              <w:spacing w:after="0" w:line="133" w:lineRule="exact"/>
              <w:rPr>
                <w:sz w:val="20"/>
                <w:szCs w:val="20"/>
                <w:color w:val="auto"/>
              </w:rPr>
            </w:pPr>
            <w:r>
              <w:rPr>
                <w:rFonts w:ascii="Times New Roman" w:cs="Times New Roman" w:eastAsia="Times New Roman" w:hAnsi="Times New Roman"/>
                <w:sz w:val="12"/>
                <w:szCs w:val="12"/>
                <w:color w:val="0000EE"/>
                <w:w w:val="79"/>
              </w:rPr>
              <w:t>S-vi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40" w:type="dxa"/>
            <w:vAlign w:val="bottom"/>
            <w:tcBorders>
              <w:top w:val="single" w:sz="8" w:color="0000EE"/>
              <w:right w:val="single" w:sz="8" w:color="CCEEFF"/>
            </w:tcBorders>
            <w:gridSpan w:val="1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Documents Incorporated by Reference</w:t>
            </w:r>
          </w:p>
        </w:tc>
        <w:tc>
          <w:tcPr>
            <w:tcW w:w="1760" w:type="dxa"/>
            <w:vAlign w:val="bottom"/>
            <w:gridSpan w:val="4"/>
            <w:shd w:val="clear" w:color="auto" w:fill="CCEEFF"/>
          </w:tcPr>
          <w:p>
            <w:pPr>
              <w:spacing w:after="0"/>
              <w:rPr>
                <w:sz w:val="13"/>
                <w:szCs w:val="13"/>
                <w:color w:val="auto"/>
              </w:rPr>
            </w:pPr>
          </w:p>
        </w:tc>
        <w:tc>
          <w:tcPr>
            <w:tcW w:w="7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top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9"/>
              </w:rPr>
              <w:t>S-vi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0" w:type="dxa"/>
            <w:vAlign w:val="bottom"/>
            <w:tcBorders>
              <w:top w:val="single" w:sz="8" w:color="0000EE"/>
              <w:bottom w:val="single" w:sz="8" w:color="0000EE"/>
            </w:tcBorders>
            <w:gridSpan w:val="2"/>
          </w:tcPr>
          <w:p>
            <w:pPr>
              <w:spacing w:after="0" w:line="133" w:lineRule="exact"/>
              <w:rPr>
                <w:sz w:val="20"/>
                <w:szCs w:val="20"/>
                <w:color w:val="auto"/>
              </w:rPr>
            </w:pPr>
            <w:r>
              <w:rPr>
                <w:rFonts w:ascii="Times New Roman" w:cs="Times New Roman" w:eastAsia="Times New Roman" w:hAnsi="Times New Roman"/>
                <w:sz w:val="14"/>
                <w:szCs w:val="14"/>
                <w:color w:val="0000EE"/>
                <w:w w:val="91"/>
              </w:rPr>
              <w:t>Summary</w:t>
            </w:r>
          </w:p>
        </w:tc>
        <w:tc>
          <w:tcPr>
            <w:tcW w:w="1620" w:type="dxa"/>
            <w:vAlign w:val="bottom"/>
            <w:tcBorders>
              <w:top w:val="single" w:sz="8" w:color="0000EE"/>
            </w:tcBorders>
            <w:gridSpan w:val="10"/>
          </w:tcPr>
          <w:p>
            <w:pPr>
              <w:spacing w:after="0"/>
              <w:rPr>
                <w:sz w:val="11"/>
                <w:szCs w:val="11"/>
                <w:color w:val="auto"/>
              </w:rPr>
            </w:pPr>
          </w:p>
        </w:tc>
        <w:tc>
          <w:tcPr>
            <w:tcW w:w="1760" w:type="dxa"/>
            <w:vAlign w:val="bottom"/>
            <w:tcBorders>
              <w:top w:val="single" w:sz="8" w:color="CCEEFF"/>
            </w:tcBorders>
            <w:gridSpan w:val="4"/>
          </w:tcPr>
          <w:p>
            <w:pPr>
              <w:spacing w:after="0"/>
              <w:rPr>
                <w:sz w:val="11"/>
                <w:szCs w:val="11"/>
                <w:color w:val="auto"/>
              </w:rPr>
            </w:pPr>
          </w:p>
        </w:tc>
        <w:tc>
          <w:tcPr>
            <w:tcW w:w="7180" w:type="dxa"/>
            <w:vAlign w:val="bottom"/>
            <w:tcBorders>
              <w:top w:val="single" w:sz="8" w:color="CCEEFF"/>
            </w:tcBorders>
          </w:tcPr>
          <w:p>
            <w:pPr>
              <w:spacing w:after="0"/>
              <w:rPr>
                <w:sz w:val="11"/>
                <w:szCs w:val="11"/>
                <w:color w:val="auto"/>
              </w:rPr>
            </w:pPr>
          </w:p>
        </w:tc>
        <w:tc>
          <w:tcPr>
            <w:tcW w:w="180" w:type="dxa"/>
            <w:vAlign w:val="bottom"/>
            <w:tcBorders>
              <w:top w:val="single" w:sz="8" w:color="0000EE"/>
              <w:bottom w:val="single" w:sz="8" w:color="0000EE"/>
            </w:tcBorders>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00" w:type="dxa"/>
            <w:vAlign w:val="bottom"/>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7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w w:val="82"/>
              </w:rPr>
              <w:t>S-6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4"/>
                <w:szCs w:val="14"/>
                <w:color w:val="0000EE"/>
                <w:w w:val="96"/>
              </w:rPr>
              <w:t>Consolidated Capitalization</w:t>
            </w:r>
          </w:p>
        </w:tc>
        <w:tc>
          <w:tcPr>
            <w:tcW w:w="2360" w:type="dxa"/>
            <w:vAlign w:val="bottom"/>
            <w:gridSpan w:val="7"/>
          </w:tcPr>
          <w:p>
            <w:pPr>
              <w:spacing w:after="0"/>
              <w:rPr>
                <w:sz w:val="11"/>
                <w:szCs w:val="11"/>
                <w:color w:val="auto"/>
              </w:rPr>
            </w:pPr>
          </w:p>
        </w:tc>
        <w:tc>
          <w:tcPr>
            <w:tcW w:w="7180" w:type="dxa"/>
            <w:vAlign w:val="bottom"/>
          </w:tcPr>
          <w:p>
            <w:pPr>
              <w:spacing w:after="0"/>
              <w:rPr>
                <w:sz w:val="11"/>
                <w:szCs w:val="11"/>
                <w:color w:val="auto"/>
              </w:rPr>
            </w:pPr>
          </w:p>
        </w:tc>
        <w:tc>
          <w:tcPr>
            <w:tcW w:w="180" w:type="dxa"/>
            <w:vAlign w:val="bottom"/>
            <w:tcBorders>
              <w:bottom w:val="single" w:sz="8" w:color="0000EE"/>
            </w:tcBorders>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00" w:type="dxa"/>
            <w:vAlign w:val="bottom"/>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7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0000EE"/>
            </w:tcBorders>
            <w:shd w:val="clear" w:color="auto" w:fill="CCEEFF"/>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4"/>
                <w:szCs w:val="14"/>
                <w:color w:val="0000EE"/>
                <w:w w:val="95"/>
              </w:rPr>
              <w:t>Description of the Notes and the Guarantees</w:t>
            </w:r>
          </w:p>
        </w:tc>
        <w:tc>
          <w:tcPr>
            <w:tcW w:w="1500" w:type="dxa"/>
            <w:vAlign w:val="bottom"/>
            <w:gridSpan w:val="3"/>
          </w:tcPr>
          <w:p>
            <w:pPr>
              <w:spacing w:after="0"/>
              <w:rPr>
                <w:sz w:val="11"/>
                <w:szCs w:val="11"/>
                <w:color w:val="auto"/>
              </w:rPr>
            </w:pPr>
          </w:p>
        </w:tc>
        <w:tc>
          <w:tcPr>
            <w:tcW w:w="7180" w:type="dxa"/>
            <w:vAlign w:val="bottom"/>
          </w:tcPr>
          <w:p>
            <w:pPr>
              <w:spacing w:after="0"/>
              <w:rPr>
                <w:sz w:val="11"/>
                <w:szCs w:val="11"/>
                <w:color w:val="auto"/>
              </w:rPr>
            </w:pPr>
          </w:p>
        </w:tc>
        <w:tc>
          <w:tcPr>
            <w:tcW w:w="180" w:type="dxa"/>
            <w:vAlign w:val="bottom"/>
            <w:tcBorders>
              <w:bottom w:val="single" w:sz="8" w:color="0000EE"/>
            </w:tcBorders>
          </w:tcPr>
          <w:p>
            <w:pPr>
              <w:jc w:val="right"/>
              <w:spacing w:after="0" w:line="133" w:lineRule="exact"/>
              <w:rPr>
                <w:sz w:val="20"/>
                <w:szCs w:val="20"/>
                <w:color w:val="auto"/>
              </w:rPr>
            </w:pPr>
            <w:r>
              <w:rPr>
                <w:rFonts w:ascii="Times New Roman" w:cs="Times New Roman" w:eastAsia="Times New Roman" w:hAnsi="Times New Roman"/>
                <w:sz w:val="12"/>
                <w:szCs w:val="12"/>
                <w:color w:val="0000EE"/>
                <w:w w:val="70"/>
              </w:rPr>
              <w:t>S-11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980" w:type="dxa"/>
            <w:vAlign w:val="bottom"/>
            <w:tcBorders>
              <w:bottom w:val="single" w:sz="8" w:color="0000EE"/>
            </w:tcBorders>
            <w:gridSpan w:val="11"/>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5"/>
              </w:rPr>
              <w:t>Material Income Tax Considerations</w:t>
            </w:r>
          </w:p>
        </w:tc>
        <w:tc>
          <w:tcPr>
            <w:tcW w:w="1920" w:type="dxa"/>
            <w:vAlign w:val="bottom"/>
            <w:tcBorders>
              <w:bottom w:val="single" w:sz="8" w:color="CCEEFF"/>
            </w:tcBorders>
            <w:gridSpan w:val="5"/>
            <w:shd w:val="clear" w:color="auto" w:fill="CCEEFF"/>
          </w:tcPr>
          <w:p>
            <w:pPr>
              <w:spacing w:after="0"/>
              <w:rPr>
                <w:sz w:val="13"/>
                <w:szCs w:val="13"/>
                <w:color w:val="auto"/>
              </w:rPr>
            </w:pPr>
          </w:p>
        </w:tc>
        <w:tc>
          <w:tcPr>
            <w:tcW w:w="718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4"/>
                <w:szCs w:val="14"/>
                <w:color w:val="0000EE"/>
                <w:w w:val="82"/>
              </w:rPr>
              <w:t>Underwriting</w:t>
            </w:r>
          </w:p>
        </w:tc>
        <w:tc>
          <w:tcPr>
            <w:tcW w:w="3240" w:type="dxa"/>
            <w:vAlign w:val="bottom"/>
            <w:gridSpan w:val="13"/>
          </w:tcPr>
          <w:p>
            <w:pPr>
              <w:spacing w:after="0"/>
              <w:rPr>
                <w:sz w:val="11"/>
                <w:szCs w:val="11"/>
                <w:color w:val="auto"/>
              </w:rPr>
            </w:pPr>
          </w:p>
        </w:tc>
        <w:tc>
          <w:tcPr>
            <w:tcW w:w="7180" w:type="dxa"/>
            <w:vAlign w:val="bottom"/>
          </w:tcPr>
          <w:p>
            <w:pPr>
              <w:spacing w:after="0"/>
              <w:rPr>
                <w:sz w:val="11"/>
                <w:szCs w:val="11"/>
                <w:color w:val="auto"/>
              </w:rPr>
            </w:pPr>
          </w:p>
        </w:tc>
        <w:tc>
          <w:tcPr>
            <w:tcW w:w="180" w:type="dxa"/>
            <w:vAlign w:val="bottom"/>
            <w:tcBorders>
              <w:bottom w:val="single" w:sz="8" w:color="0000EE"/>
            </w:tcBorders>
          </w:tcPr>
          <w:p>
            <w:pPr>
              <w:jc w:val="right"/>
              <w:spacing w:after="0" w:line="133" w:lineRule="exact"/>
              <w:rPr>
                <w:sz w:val="20"/>
                <w:szCs w:val="20"/>
                <w:color w:val="auto"/>
              </w:rPr>
            </w:pPr>
            <w:r>
              <w:rPr>
                <w:rFonts w:ascii="Times New Roman" w:cs="Times New Roman" w:eastAsia="Times New Roman" w:hAnsi="Times New Roman"/>
                <w:sz w:val="12"/>
                <w:szCs w:val="12"/>
                <w:color w:val="0000EE"/>
                <w:w w:val="70"/>
              </w:rPr>
              <w:t>S-38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Borders>
              <w:bottom w:val="single" w:sz="8" w:color="0000EE"/>
            </w:tcBorders>
            <w:gridSpan w:val="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3"/>
              </w:rPr>
              <w:t>Validity of Securities</w:t>
            </w:r>
          </w:p>
        </w:tc>
        <w:tc>
          <w:tcPr>
            <w:tcW w:w="2760" w:type="dxa"/>
            <w:vAlign w:val="bottom"/>
            <w:tcBorders>
              <w:bottom w:val="single" w:sz="8" w:color="CCEEFF"/>
            </w:tcBorders>
            <w:gridSpan w:val="10"/>
            <w:shd w:val="clear" w:color="auto" w:fill="CCEEFF"/>
          </w:tcPr>
          <w:p>
            <w:pPr>
              <w:spacing w:after="0"/>
              <w:rPr>
                <w:sz w:val="13"/>
                <w:szCs w:val="13"/>
                <w:color w:val="auto"/>
              </w:rPr>
            </w:pPr>
          </w:p>
        </w:tc>
        <w:tc>
          <w:tcPr>
            <w:tcW w:w="718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4"/>
                <w:szCs w:val="14"/>
                <w:color w:val="0000EE"/>
                <w:w w:val="88"/>
              </w:rPr>
              <w:t>Experts</w:t>
            </w:r>
          </w:p>
        </w:tc>
        <w:tc>
          <w:tcPr>
            <w:tcW w:w="3500" w:type="dxa"/>
            <w:vAlign w:val="bottom"/>
            <w:gridSpan w:val="15"/>
          </w:tcPr>
          <w:p>
            <w:pPr>
              <w:spacing w:after="0"/>
              <w:rPr>
                <w:sz w:val="11"/>
                <w:szCs w:val="11"/>
                <w:color w:val="auto"/>
              </w:rPr>
            </w:pPr>
          </w:p>
        </w:tc>
        <w:tc>
          <w:tcPr>
            <w:tcW w:w="7180" w:type="dxa"/>
            <w:vAlign w:val="bottom"/>
          </w:tcPr>
          <w:p>
            <w:pPr>
              <w:spacing w:after="0"/>
              <w:rPr>
                <w:sz w:val="11"/>
                <w:szCs w:val="11"/>
                <w:color w:val="auto"/>
              </w:rPr>
            </w:pPr>
          </w:p>
        </w:tc>
        <w:tc>
          <w:tcPr>
            <w:tcW w:w="180" w:type="dxa"/>
            <w:vAlign w:val="bottom"/>
            <w:tcBorders>
              <w:bottom w:val="single" w:sz="8" w:color="0000EE"/>
            </w:tcBorders>
          </w:tcPr>
          <w:p>
            <w:pPr>
              <w:jc w:val="right"/>
              <w:spacing w:after="0" w:line="133" w:lineRule="exact"/>
              <w:rPr>
                <w:sz w:val="20"/>
                <w:szCs w:val="20"/>
                <w:color w:val="auto"/>
              </w:rPr>
            </w:pPr>
            <w:r>
              <w:rPr>
                <w:rFonts w:ascii="Times New Roman" w:cs="Times New Roman" w:eastAsia="Times New Roman" w:hAnsi="Times New Roman"/>
                <w:sz w:val="12"/>
                <w:szCs w:val="12"/>
                <w:color w:val="0000EE"/>
                <w:w w:val="70"/>
              </w:rPr>
              <w:t>S-49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8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0"/>
              </w:rPr>
              <w:t>Page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90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About This Prospectus</w:t>
            </w:r>
          </w:p>
        </w:tc>
        <w:tc>
          <w:tcPr>
            <w:tcW w:w="736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gridSpan w:val="16"/>
          </w:tcPr>
          <w:p>
            <w:pPr>
              <w:spacing w:after="0" w:line="133" w:lineRule="exact"/>
              <w:rPr>
                <w:sz w:val="20"/>
                <w:szCs w:val="20"/>
                <w:color w:val="auto"/>
              </w:rPr>
            </w:pPr>
            <w:r>
              <w:rPr>
                <w:rFonts w:ascii="Times New Roman" w:cs="Times New Roman" w:eastAsia="Times New Roman" w:hAnsi="Times New Roman"/>
                <w:sz w:val="14"/>
                <w:szCs w:val="14"/>
                <w:color w:val="0000EE"/>
              </w:rPr>
              <w:t>Note Regarding Forward-Looking Statements</w:t>
            </w: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420" w:type="dxa"/>
            <w:vAlign w:val="bottom"/>
            <w:tcBorders>
              <w:left w:val="single" w:sz="8" w:color="CCEEFF"/>
            </w:tcBorders>
            <w:gridSpan w:val="2"/>
            <w:shd w:val="clear" w:color="auto" w:fill="CCEEFF"/>
          </w:tcPr>
          <w:p>
            <w:pPr>
              <w:spacing w:after="0"/>
              <w:rPr>
                <w:sz w:val="12"/>
                <w:szCs w:val="12"/>
                <w:color w:val="auto"/>
              </w:rPr>
            </w:pP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gridSpan w:val="8"/>
          </w:tcPr>
          <w:p>
            <w:pPr>
              <w:spacing w:after="0" w:line="133" w:lineRule="exact"/>
              <w:rPr>
                <w:sz w:val="20"/>
                <w:szCs w:val="20"/>
                <w:color w:val="auto"/>
              </w:rPr>
            </w:pPr>
            <w:r>
              <w:rPr>
                <w:rFonts w:ascii="Times New Roman" w:cs="Times New Roman" w:eastAsia="Times New Roman" w:hAnsi="Times New Roman"/>
                <w:sz w:val="14"/>
                <w:szCs w:val="14"/>
                <w:color w:val="0000EE"/>
                <w:w w:val="94"/>
              </w:rPr>
              <w:t>Incorporation by Reference</w:t>
            </w:r>
          </w:p>
        </w:tc>
        <w:tc>
          <w:tcPr>
            <w:tcW w:w="660" w:type="dxa"/>
            <w:vAlign w:val="bottom"/>
            <w:gridSpan w:val="4"/>
          </w:tcPr>
          <w:p>
            <w:pPr>
              <w:spacing w:after="0"/>
              <w:rPr>
                <w:sz w:val="11"/>
                <w:szCs w:val="11"/>
                <w:color w:val="auto"/>
              </w:rPr>
            </w:pPr>
          </w:p>
        </w:tc>
        <w:tc>
          <w:tcPr>
            <w:tcW w:w="1760" w:type="dxa"/>
            <w:vAlign w:val="bottom"/>
            <w:gridSpan w:val="4"/>
          </w:tcPr>
          <w:p>
            <w:pPr>
              <w:spacing w:after="0"/>
              <w:rPr>
                <w:sz w:val="11"/>
                <w:szCs w:val="11"/>
                <w:color w:val="auto"/>
              </w:rPr>
            </w:pP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480" w:type="dxa"/>
            <w:vAlign w:val="bottom"/>
            <w:gridSpan w:val="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The Corporation</w:t>
            </w:r>
          </w:p>
        </w:tc>
        <w:tc>
          <w:tcPr>
            <w:tcW w:w="2420" w:type="dxa"/>
            <w:vAlign w:val="bottom"/>
            <w:gridSpan w:val="8"/>
            <w:shd w:val="clear" w:color="auto" w:fill="CCEEFF"/>
          </w:tcPr>
          <w:p>
            <w:pPr>
              <w:spacing w:after="0"/>
              <w:rPr>
                <w:sz w:val="12"/>
                <w:szCs w:val="12"/>
                <w:color w:val="auto"/>
              </w:rPr>
            </w:pP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3020" w:type="dxa"/>
            <w:vAlign w:val="bottom"/>
            <w:gridSpan w:val="12"/>
          </w:tcPr>
          <w:p>
            <w:pPr>
              <w:spacing w:after="0"/>
              <w:rPr>
                <w:sz w:val="11"/>
                <w:szCs w:val="11"/>
                <w:color w:val="auto"/>
              </w:rPr>
            </w:pP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00" w:type="dxa"/>
            <w:vAlign w:val="bottom"/>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14"/>
          </w:tcPr>
          <w:p>
            <w:pPr>
              <w:spacing w:after="0" w:line="133" w:lineRule="exact"/>
              <w:rPr>
                <w:sz w:val="20"/>
                <w:szCs w:val="20"/>
                <w:color w:val="auto"/>
              </w:rPr>
            </w:pPr>
            <w:r>
              <w:rPr>
                <w:rFonts w:ascii="Times New Roman" w:cs="Times New Roman" w:eastAsia="Times New Roman" w:hAnsi="Times New Roman"/>
                <w:sz w:val="14"/>
                <w:szCs w:val="14"/>
                <w:color w:val="0000EE"/>
                <w:w w:val="93"/>
              </w:rPr>
              <w:t>Description of Debt Securities and Guarantees</w:t>
            </w:r>
          </w:p>
        </w:tc>
        <w:tc>
          <w:tcPr>
            <w:tcW w:w="1420" w:type="dxa"/>
            <w:vAlign w:val="bottom"/>
            <w:gridSpan w:val="2"/>
          </w:tcPr>
          <w:p>
            <w:pPr>
              <w:spacing w:after="0"/>
              <w:rPr>
                <w:sz w:val="11"/>
                <w:szCs w:val="11"/>
                <w:color w:val="auto"/>
              </w:rPr>
            </w:pP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540" w:type="dxa"/>
            <w:vAlign w:val="bottom"/>
            <w:tcBorders>
              <w:right w:val="single" w:sz="8" w:color="CCEEFF"/>
            </w:tcBorders>
            <w:gridSpan w:val="9"/>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3"/>
              </w:rPr>
              <w:t>Description of Share Capital</w:t>
            </w:r>
          </w:p>
        </w:tc>
        <w:tc>
          <w:tcPr>
            <w:tcW w:w="940" w:type="dxa"/>
            <w:vAlign w:val="bottom"/>
            <w:gridSpan w:val="5"/>
            <w:shd w:val="clear" w:color="auto" w:fill="CCEEFF"/>
          </w:tcPr>
          <w:p>
            <w:pPr>
              <w:spacing w:after="0"/>
              <w:rPr>
                <w:sz w:val="12"/>
                <w:szCs w:val="12"/>
                <w:color w:val="auto"/>
              </w:rPr>
            </w:pPr>
          </w:p>
        </w:tc>
        <w:tc>
          <w:tcPr>
            <w:tcW w:w="1420" w:type="dxa"/>
            <w:vAlign w:val="bottom"/>
            <w:tcBorders>
              <w:left w:val="single" w:sz="8" w:color="CCEEFF"/>
            </w:tcBorders>
            <w:gridSpan w:val="2"/>
            <w:shd w:val="clear" w:color="auto" w:fill="CCEEFF"/>
          </w:tcPr>
          <w:p>
            <w:pPr>
              <w:spacing w:after="0"/>
              <w:rPr>
                <w:sz w:val="12"/>
                <w:szCs w:val="12"/>
                <w:color w:val="auto"/>
              </w:rPr>
            </w:pP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gridSpan w:val="11"/>
          </w:tcPr>
          <w:p>
            <w:pPr>
              <w:spacing w:after="0" w:line="133" w:lineRule="exact"/>
              <w:rPr>
                <w:sz w:val="20"/>
                <w:szCs w:val="20"/>
                <w:color w:val="auto"/>
              </w:rPr>
            </w:pPr>
            <w:r>
              <w:rPr>
                <w:rFonts w:ascii="Times New Roman" w:cs="Times New Roman" w:eastAsia="Times New Roman" w:hAnsi="Times New Roman"/>
                <w:sz w:val="14"/>
                <w:szCs w:val="14"/>
                <w:color w:val="0000EE"/>
                <w:w w:val="95"/>
              </w:rPr>
              <w:t>Material Income Tax Considerations</w:t>
            </w:r>
          </w:p>
        </w:tc>
        <w:tc>
          <w:tcPr>
            <w:tcW w:w="1920" w:type="dxa"/>
            <w:vAlign w:val="bottom"/>
            <w:gridSpan w:val="5"/>
          </w:tcPr>
          <w:p>
            <w:pPr>
              <w:spacing w:after="0"/>
              <w:rPr>
                <w:sz w:val="11"/>
                <w:szCs w:val="11"/>
                <w:color w:val="auto"/>
              </w:rPr>
            </w:pP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gridSpan w:val="11"/>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1920" w:type="dxa"/>
            <w:vAlign w:val="bottom"/>
            <w:gridSpan w:val="5"/>
            <w:shd w:val="clear" w:color="auto" w:fill="CCEEFF"/>
          </w:tcPr>
          <w:p>
            <w:pPr>
              <w:spacing w:after="0"/>
              <w:rPr>
                <w:sz w:val="12"/>
                <w:szCs w:val="12"/>
                <w:color w:val="auto"/>
              </w:rPr>
            </w:pP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gridSpan w:val="16"/>
          </w:tcPr>
          <w:p>
            <w:pPr>
              <w:spacing w:after="0" w:line="133"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3"/>
              </w:rPr>
              <w:t>Validity of Securities</w:t>
            </w:r>
          </w:p>
        </w:tc>
        <w:tc>
          <w:tcPr>
            <w:tcW w:w="580" w:type="dxa"/>
            <w:vAlign w:val="bottom"/>
            <w:gridSpan w:val="4"/>
            <w:shd w:val="clear" w:color="auto" w:fill="CCEEFF"/>
          </w:tcPr>
          <w:p>
            <w:pPr>
              <w:spacing w:after="0"/>
              <w:rPr>
                <w:sz w:val="12"/>
                <w:szCs w:val="12"/>
                <w:color w:val="auto"/>
              </w:rPr>
            </w:pPr>
          </w:p>
        </w:tc>
        <w:tc>
          <w:tcPr>
            <w:tcW w:w="2180" w:type="dxa"/>
            <w:vAlign w:val="bottom"/>
            <w:gridSpan w:val="6"/>
            <w:shd w:val="clear" w:color="auto" w:fill="CCEEFF"/>
          </w:tcPr>
          <w:p>
            <w:pPr>
              <w:spacing w:after="0"/>
              <w:rPr>
                <w:sz w:val="12"/>
                <w:szCs w:val="12"/>
                <w:color w:val="auto"/>
              </w:rPr>
            </w:pPr>
          </w:p>
        </w:tc>
        <w:tc>
          <w:tcPr>
            <w:tcW w:w="736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0000EE"/>
                <w:w w:val="88"/>
              </w:rPr>
              <w:t>Experts</w:t>
            </w:r>
          </w:p>
        </w:tc>
        <w:tc>
          <w:tcPr>
            <w:tcW w:w="740" w:type="dxa"/>
            <w:vAlign w:val="bottom"/>
            <w:gridSpan w:val="5"/>
          </w:tcPr>
          <w:p>
            <w:pPr>
              <w:spacing w:after="0"/>
              <w:rPr>
                <w:sz w:val="11"/>
                <w:szCs w:val="11"/>
                <w:color w:val="auto"/>
              </w:rPr>
            </w:pPr>
          </w:p>
        </w:tc>
        <w:tc>
          <w:tcPr>
            <w:tcW w:w="2760" w:type="dxa"/>
            <w:vAlign w:val="bottom"/>
            <w:gridSpan w:val="10"/>
          </w:tcPr>
          <w:p>
            <w:pPr>
              <w:spacing w:after="0"/>
              <w:rPr>
                <w:sz w:val="11"/>
                <w:szCs w:val="11"/>
                <w:color w:val="auto"/>
              </w:rPr>
            </w:pPr>
          </w:p>
        </w:tc>
        <w:tc>
          <w:tcPr>
            <w:tcW w:w="7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0" w:lineRule="exact"/>
        <w:rPr>
          <w:sz w:val="20"/>
          <w:szCs w:val="20"/>
          <w:color w:val="auto"/>
        </w:rPr>
      </w:pPr>
    </w:p>
    <w:p>
      <w:pPr>
        <w:jc w:val="both"/>
        <w:ind w:firstLine="490"/>
        <w:spacing w:after="0" w:line="287" w:lineRule="auto"/>
        <w:rPr>
          <w:sz w:val="20"/>
          <w:szCs w:val="20"/>
          <w:color w:val="auto"/>
        </w:rPr>
      </w:pPr>
      <w:r>
        <w:rPr>
          <w:rFonts w:ascii="Times New Roman" w:cs="Times New Roman" w:eastAsia="Times New Roman" w:hAnsi="Times New Roman"/>
          <w:sz w:val="12"/>
          <w:szCs w:val="12"/>
          <w:color w:val="auto"/>
        </w:rPr>
        <w:t>The prospectus and this prospectus supplement, including the documents incorporated by reference into the prospectus and this prospectus supplement, contain both historical and forward-looking statements within the meaning of Section 27A of the U.S. Securities Act of 1933, as amended (the “U.S. Securities Act”), and Section 21E of the U.S. Securities Exchange Act of 1934, as amended (the “U.S. Exchange Act”), and forward-looking information within the meaning of Canadian securities laws (collectively, “forward-looking statements”).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the prospectus and this prospectus supplement include, but are not limited to, statements with respect to the following: the Corporation’s corporate vision and strategy, including strategic priorities and enablers; expected supply of, demand for, exports of and prices of crude oil, natural gas, natural gas liquids (“NGL”), liquefied natural gas (“LNG”), renewable natural gas (“RNG”) and renewable energy; energy transition and lower-carbon energy, and our approach thereto; environmental, social and governance and sustainability goals, practices and performance; industry and market conditions; anticipated utilization of the Corporation’s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United States gas utilities (the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the Corporation’s commercially secured growth program; expected future growth, development and expansion opportunities; expected optimization and efficiency opportunities; expectations about the Corporation’s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this offering, including the closing date thereof and the expected use of proceeds; the Corporation’s intention not to list the Notes on any stock exchange or other market and our assessment of the potential impact of the various risk factors identified in this prospectus supplement and the accompanying prospectus, including the documents incorporated by reference into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 w:name="page6"/>
    <w:bookmarkEnd w:id="5"/>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Although the Corporation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the Corporation’s supply chain; operational reliability; maintenance of support and regulatory approvals for the Corporation’s projects and transactions; anticipated in-service dates; weather; the timing, terms and closing of acquisitions, dispositions and other transactions, and of this offering; the realization of anticipated benefits of transactions, including the Acquisitions; governmental legislation; litigation; estimated future dividends and impact of the Corporation’s dividend policy on its future cash flows; the Corporation’s credit ratings; capital project funding; hedging program; expected earnings before interest, income taxes, and depreciation and amortization;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the Corporation’s services. Similarly, exchange rates, inflation, interest rates and tariffs impact the economies and business environments in which the Corporation operates and may impact levels of demand for the Corporation’s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6" w:name="page7"/>
    <w:bookmarkEnd w:id="6"/>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The Corporation’s forward-looking statements are subject to risks and uncertainties pertaining to the successful execution of the Corporation’s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this offering;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the Corporation’s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the prospectus, this prospectus supplement and in documents incorporated by reference into the prospectus and this prospectus supplement. The impact of any one assumption, risk, uncertainty or factor on a particular forward-looking statement is not determinable with certainty as these are interdependent and the Corporation’s future course of action depends on management’s assessment of all information available at the relevant time. Except to the extent required by applicable law, the Corporation assumes no obligation to publicly update or revise any forward-looking statement made in the prospectus and this prospectus supplement or otherwise, whether as a result of new information, future events or otherwise. All forward-looking statements, whether written or oral, attributable to the Corporation or persons acting on the Corporation’s behalf, are expressly qualified in their entirety by these cautionary statements.</w:t>
      </w:r>
    </w:p>
    <w:p>
      <w:pPr>
        <w:spacing w:after="0" w:line="153"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For more information on forward-looking statements, the assumptions underlying them, and the risks and uncertainties affecting them, see “Note Regarding Forward-Looking Statements” in the prospectus and “Risk Factors” in this prospectus supplement and the prospectus.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The Corporation is subject to the information requirements of the U.S. Exchange Act, and in accordance therewith files reports and other information with the United States Securities and Exchange Commission (the “SEC”). Such reports and other information are available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and the Corporation’s website at </w:t>
      </w:r>
      <w:r>
        <w:rPr>
          <w:rFonts w:ascii="Times New Roman" w:cs="Times New Roman" w:eastAsia="Times New Roman" w:hAnsi="Times New Roman"/>
          <w:sz w:val="14"/>
          <w:szCs w:val="14"/>
          <w:u w:val="single" w:color="auto"/>
          <w:color w:val="auto"/>
        </w:rPr>
        <w:t>www.enbridge.com</w:t>
      </w:r>
      <w:r>
        <w:rPr>
          <w:rFonts w:ascii="Times New Roman" w:cs="Times New Roman" w:eastAsia="Times New Roman" w:hAnsi="Times New Roman"/>
          <w:sz w:val="14"/>
          <w:szCs w:val="14"/>
          <w:color w:val="auto"/>
        </w:rPr>
        <w:t xml:space="preserve">. The information contained on or accessible from the Corporation’s website does not constitute a part of this prospectus supplement or the accompanying prospectus and is not incorporated by reference herein or therein. Prospective investors may read and download the documents the Corporation has filed with the SEC’s Electronic Data Gathering and Retrieval system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relating to certain securities, including the Notes offered by this prospectus supplement. This prospectus supplement and the accompanying prospectus are a part of the registration statement and do not contain all the information in the Registration Statement. Whenever a reference is made in this prospectus supplement or the accompanying prospectus to a contract or other document, the reference is only a summary and you should refer to the exhibits that are a part of the Registration Statement for a copy of the contract or other document. You may review a copy of the Registration Statement through the SEC’s website.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0"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The SEC allows us to incorporate by reference the information we file with the SEC. This means that we can disclose important information to you by referring to those documents and later information that we file with the SEC. The information that we incorporate by reference is an important part of this prospectus supplement and the accompanying prospectus. We incorporate by reference the following documents and any future filings that we make with the SEC under Sections 13(a), 13(c) and 15(d) of the U.S. Exchange Act until the termination of this offering under this prospectus supplement:</w:t>
      </w:r>
    </w:p>
    <w:p>
      <w:pPr>
        <w:spacing w:after="0" w:line="109" w:lineRule="exact"/>
        <w:rPr>
          <w:sz w:val="20"/>
          <w:szCs w:val="20"/>
          <w:color w:val="auto"/>
        </w:rPr>
      </w:pPr>
    </w:p>
    <w:p>
      <w:pPr>
        <w:ind w:left="740" w:hanging="248"/>
        <w:spacing w:after="0" w:line="264" w:lineRule="auto"/>
        <w:tabs>
          <w:tab w:leader="none" w:pos="740" w:val="left"/>
        </w:tabs>
        <w:numPr>
          <w:ilvl w:val="0"/>
          <w:numId w:val="1"/>
        </w:numPr>
        <w:rPr>
          <w:rFonts w:ascii="Times New Roman" w:cs="Times New Roman" w:eastAsia="Times New Roman" w:hAnsi="Times New Roman"/>
          <w:sz w:val="14"/>
          <w:szCs w:val="14"/>
          <w:color w:val="0000EE"/>
        </w:rPr>
      </w:pPr>
      <w:hyperlink r:id="rId19">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fiscal year ended December 31, 2025, filed on February 13, 2026</w:t>
        </w:r>
        <w:r>
          <w:rPr>
            <w:rFonts w:ascii="Times New Roman" w:cs="Times New Roman" w:eastAsia="Times New Roman" w:hAnsi="Times New Roman"/>
            <w:sz w:val="14"/>
            <w:szCs w:val="14"/>
            <w:color w:val="auto"/>
          </w:rPr>
          <w:t xml:space="preserve"> (the “2025 Annual Report”), as </w:t>
        </w:r>
        <w:r>
          <w:rPr>
            <w:rFonts w:ascii="Times New Roman" w:cs="Times New Roman" w:eastAsia="Times New Roman" w:hAnsi="Times New Roman"/>
            <w:sz w:val="14"/>
            <w:szCs w:val="14"/>
            <w:u w:val="single" w:color="auto"/>
            <w:color w:val="0000EE"/>
          </w:rPr>
          <w:t>amended by Amendment No. 1 on Form 10-K/A,</w:t>
        </w:r>
      </w:hyperlink>
      <w:r>
        <w:rPr>
          <w:rFonts w:ascii="Times New Roman" w:cs="Times New Roman" w:eastAsia="Times New Roman" w:hAnsi="Times New Roman"/>
          <w:sz w:val="14"/>
          <w:szCs w:val="14"/>
          <w:color w:val="auto"/>
        </w:rPr>
        <w:t xml:space="preserve"> </w:t>
      </w:r>
      <w:hyperlink r:id="rId19">
        <w:r>
          <w:rPr>
            <w:rFonts w:ascii="Times New Roman" w:cs="Times New Roman" w:eastAsia="Times New Roman" w:hAnsi="Times New Roman"/>
            <w:sz w:val="14"/>
            <w:szCs w:val="14"/>
            <w:u w:val="single" w:color="auto"/>
            <w:color w:val="0000EE"/>
          </w:rPr>
          <w:t>filed on March 10, 2026</w:t>
        </w:r>
        <w:r>
          <w:rPr>
            <w:rFonts w:ascii="Times New Roman" w:cs="Times New Roman" w:eastAsia="Times New Roman" w:hAnsi="Times New Roman"/>
            <w:sz w:val="14"/>
            <w:szCs w:val="14"/>
            <w:color w:val="000000"/>
          </w:rPr>
          <w:t>, to the 2025 Annual Report;</w:t>
        </w:r>
      </w:hyperlink>
    </w:p>
    <w:p>
      <w:pPr>
        <w:spacing w:after="0" w:line="136" w:lineRule="exact"/>
        <w:rPr>
          <w:rFonts w:ascii="Times New Roman" w:cs="Times New Roman" w:eastAsia="Times New Roman" w:hAnsi="Times New Roman"/>
          <w:sz w:val="14"/>
          <w:szCs w:val="14"/>
          <w:color w:val="0000EE"/>
        </w:rPr>
      </w:pPr>
    </w:p>
    <w:p>
      <w:pPr>
        <w:ind w:left="740" w:hanging="248"/>
        <w:spacing w:after="0"/>
        <w:tabs>
          <w:tab w:leader="none" w:pos="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20">
        <w:r>
          <w:rPr>
            <w:rFonts w:ascii="Times New Roman" w:cs="Times New Roman" w:eastAsia="Times New Roman" w:hAnsi="Times New Roman"/>
            <w:sz w:val="14"/>
            <w:szCs w:val="14"/>
            <w:u w:val="single" w:color="auto"/>
            <w:color w:val="0000EE"/>
          </w:rPr>
          <w:t>March 10,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1">
        <w:r>
          <w:rPr>
            <w:rFonts w:ascii="Times New Roman" w:cs="Times New Roman" w:eastAsia="Times New Roman" w:hAnsi="Times New Roman"/>
            <w:sz w:val="14"/>
            <w:szCs w:val="14"/>
            <w:u w:val="single" w:color="auto"/>
            <w:color w:val="0000EE"/>
          </w:rPr>
          <w:t>March 20, 2026</w:t>
        </w:r>
      </w:hyperlink>
      <w:r>
        <w:rPr>
          <w:rFonts w:ascii="Times New Roman" w:cs="Times New Roman" w:eastAsia="Times New Roman" w:hAnsi="Times New Roman"/>
          <w:sz w:val="14"/>
          <w:szCs w:val="14"/>
          <w:color w:val="auto"/>
        </w:rPr>
        <w:t>.</w:t>
      </w:r>
    </w:p>
    <w:p>
      <w:pPr>
        <w:spacing w:after="0" w:line="32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S-vi</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8" w:name="page9"/>
    <w:bookmarkEnd w:id="8"/>
    <w:p>
      <w:pPr>
        <w:jc w:val="both"/>
        <w:ind w:firstLine="490"/>
        <w:spacing w:after="0" w:line="247" w:lineRule="auto"/>
        <w:rPr>
          <w:sz w:val="20"/>
          <w:szCs w:val="20"/>
          <w:color w:val="auto"/>
        </w:rPr>
      </w:pPr>
      <w:r>
        <w:rPr>
          <w:rFonts w:ascii="Times New Roman" w:cs="Times New Roman" w:eastAsia="Times New Roman" w:hAnsi="Times New Roman"/>
          <w:sz w:val="14"/>
          <w:szCs w:val="14"/>
          <w:b w:val="1"/>
          <w:bCs w:val="1"/>
          <w:color w:val="auto"/>
        </w:rPr>
        <w:t>Any statement contained in this prospectus supplement or the accompanying prospectus or in a document incorporated or deemed to be incorporated by reference herein shall be deemed to be modified or superseded for purposes of this prospectus supplement or the accompanying prospectus to the extent that a statement contained therein or herein or in a document incorporated or deemed to be incorporated by reference therein or herein or in any other subsequently filed document which also is or is deemed to be incorporated by reference therein or herein modifies or supersedes such statement. The modifying or superseding statement need not state that it has modified or superseded a prior statement or include any other information set forth in the document that it modifies or supersedes. The making of such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the light of the circumstances in which it was made. Any statement so modified or superseded shall not be deemed, except as so modified or superseded, to constitute a part of this prospectus supplement or the accompanying prospectus.</w:t>
      </w:r>
    </w:p>
    <w:p>
      <w:pPr>
        <w:spacing w:after="0" w:line="14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Copies of the documents incorporated herein by reference (other than exhibits to such documents, unless such exhibits are specifically incorporated by reference in such documents) may be obtained on request without charge from the Corporate Secretary of Enbridge Inc., Suite 200, 425 - 1st Street S.W., Calgary, Alberta, Canada T2P 3L8 (telephone 1-403-231-3900). Documents that we file with or furnish to the SEC are also available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This site contains reports, proxy and information statements and other information regarding issuers that file electronically with the SEC. The information on that website is not part of this prospectus supplement.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358140</wp:posOffset>
            </wp:positionV>
            <wp:extent cx="7171690" cy="2100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1690" cy="2100580"/>
                    </a:xfrm>
                    <a:prstGeom prst="rect">
                      <a:avLst/>
                    </a:prstGeom>
                    <a:noFill/>
                  </pic:spPr>
                </pic:pic>
              </a:graphicData>
            </a:graphic>
          </wp:anchor>
        </w:drawing>
        <w:t>SUMMARY</w:t>
      </w:r>
    </w:p>
    <w:p>
      <w:pPr>
        <w:spacing w:after="0" w:line="168" w:lineRule="exact"/>
        <w:rPr>
          <w:sz w:val="20"/>
          <w:szCs w:val="20"/>
          <w:color w:val="auto"/>
        </w:rPr>
      </w:pPr>
    </w:p>
    <w:p>
      <w:pPr>
        <w:jc w:val="both"/>
        <w:ind w:right="20" w:firstLine="490"/>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and the accompanying prospectus. It is not complete and may not contain all of the information that you should consider before investing in the Notes. You should read this entire prospectus supplement and the accompanying prospectus, including the information incorporated by reference in this prospectus supplement and the accompanying prospectus, and in particular the section entitled “Risk Factors” of this prospectus supplement and in such incorporated documents, as well as our consolidated financial statements, incorporated by reference in this prospectus supplement and the accompanying prospectus, carefully.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Corporation</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Enbridge is a leading North American energy infrastructure company. The Corporation’s core businesses include Liquids Pipelines, which consists of pipelines and terminals in Canada and the United States that transport, store and export various grades of crude oil and other liquid hydrocarbons; Gas Transmission, which consists of investments in natural gas pipelines and gathering, processing and storage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power generation facilities, as well as geothermal assets, in North America and Europe.</w:t>
      </w:r>
    </w:p>
    <w:p>
      <w:pPr>
        <w:spacing w:after="0" w:line="149"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 xml:space="preserve">Enbridge is a public company, with common shares that trade on the Toronto Stock Exchange and the New York Stock Exchange under the symbol “ENB”. The Corporation was incorporated under the </w:t>
      </w:r>
      <w:r>
        <w:rPr>
          <w:rFonts w:ascii="Times New Roman" w:cs="Times New Roman" w:eastAsia="Times New Roman" w:hAnsi="Times New Roman"/>
          <w:sz w:val="14"/>
          <w:szCs w:val="14"/>
          <w:i w:val="1"/>
          <w:iCs w:val="1"/>
          <w:color w:val="auto"/>
        </w:rPr>
        <w:t>Companies Ordinance of the Northwest Territories</w:t>
      </w:r>
      <w:r>
        <w:rPr>
          <w:rFonts w:ascii="Times New Roman" w:cs="Times New Roman" w:eastAsia="Times New Roman" w:hAnsi="Times New Roman"/>
          <w:sz w:val="14"/>
          <w:szCs w:val="14"/>
          <w:color w:val="auto"/>
        </w:rPr>
        <w:t xml:space="preserve"> on April 13, 1970 and was continued under the </w:t>
      </w:r>
      <w:r>
        <w:rPr>
          <w:rFonts w:ascii="Times New Roman" w:cs="Times New Roman" w:eastAsia="Times New Roman" w:hAnsi="Times New Roman"/>
          <w:sz w:val="14"/>
          <w:szCs w:val="14"/>
          <w:i w:val="1"/>
          <w:iCs w:val="1"/>
          <w:color w:val="auto"/>
        </w:rPr>
        <w:t>Canada Business Corporations Act</w:t>
      </w:r>
      <w:r>
        <w:rPr>
          <w:rFonts w:ascii="Times New Roman" w:cs="Times New Roman" w:eastAsia="Times New Roman" w:hAnsi="Times New Roman"/>
          <w:sz w:val="14"/>
          <w:szCs w:val="14"/>
          <w:color w:val="auto"/>
        </w:rPr>
        <w:t xml:space="preserve"> on December 15, 1987. Enbridge’s principal executive offices are located at Suite 200, 425 - 1st Street S.W., Calgary, Alberta, Canada T2P 3L8, and its telephone number is 1-403-231-3900.</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71659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00"/>
          </w:cols>
          <w:pgMar w:left="400" w:top="725" w:right="3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358140</wp:posOffset>
            </wp:positionV>
            <wp:extent cx="7171690" cy="3047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1690" cy="3047365"/>
                    </a:xfrm>
                    <a:prstGeom prst="rect">
                      <a:avLst/>
                    </a:prstGeom>
                    <a:noFill/>
                  </pic:spPr>
                </pic:pic>
              </a:graphicData>
            </a:graphic>
          </wp:anchor>
        </w:drawing>
        <w:t>The Offering</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i w:val="1"/>
          <w:iCs w:val="1"/>
          <w:color w:val="auto"/>
        </w:rPr>
        <w:t>In this section, the terms “Corporation”, “Enbridge”, “we”, “us” or “our” refer only to Enbridge Inc. and not to its subsidiaries.</w:t>
      </w:r>
    </w:p>
    <w:p>
      <w:pPr>
        <w:sectPr>
          <w:pgSz w:w="11900" w:h="16838" w:orient="portrait"/>
          <w:cols w:equalWidth="0" w:num="1">
            <w:col w:w="11080"/>
          </w:cols>
          <w:pgMar w:left="400" w:top="725" w:right="41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2"/>
          <w:szCs w:val="12"/>
          <w:color w:val="auto"/>
        </w:rPr>
        <w:t>Enbridge Inc.</w:t>
      </w:r>
    </w:p>
    <w:p>
      <w:pPr>
        <w:spacing w:after="0" w:line="185" w:lineRule="exact"/>
        <w:rPr>
          <w:sz w:val="20"/>
          <w:szCs w:val="20"/>
          <w:color w:val="auto"/>
        </w:rPr>
      </w:pPr>
    </w:p>
    <w:p>
      <w:pPr>
        <w:sectPr>
          <w:pgSz w:w="11900" w:h="16838" w:orient="portrait"/>
          <w:cols w:equalWidth="0" w:num="2">
            <w:col w:w="4380" w:space="720"/>
            <w:col w:w="5980"/>
          </w:cols>
          <w:pgMar w:left="400" w:top="725"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Guarantors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4"/>
          <w:szCs w:val="14"/>
          <w:color w:val="auto"/>
        </w:rPr>
        <w:t>Enbridge Energy Partners, L.P. (“EEP”) and Spectra Energy Partners, LP (“SEP” and, together with EEP, the “Guarantors”). The Guarantors are indirect, wholly-owned subsidiaries of the Corporation.</w:t>
      </w:r>
    </w:p>
    <w:p>
      <w:pPr>
        <w:spacing w:after="0" w:line="132" w:lineRule="exact"/>
        <w:rPr>
          <w:sz w:val="20"/>
          <w:szCs w:val="20"/>
          <w:color w:val="auto"/>
        </w:rPr>
      </w:pPr>
    </w:p>
    <w:p>
      <w:pPr>
        <w:sectPr>
          <w:pgSz w:w="11900" w:h="16838" w:orient="portrait"/>
          <w:cols w:equalWidth="0" w:num="2">
            <w:col w:w="4380" w:space="720"/>
            <w:col w:w="5980"/>
          </w:cols>
          <w:pgMar w:left="400" w:top="725"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US$1,000,000,000 aggregate principal amount of 4.850% Senior Notes due 2031 (the “2031 Notes”).</w:t>
      </w:r>
    </w:p>
    <w:p>
      <w:pPr>
        <w:spacing w:after="0" w:line="189" w:lineRule="exact"/>
        <w:rPr>
          <w:sz w:val="20"/>
          <w:szCs w:val="20"/>
          <w:color w:val="auto"/>
        </w:rPr>
      </w:pPr>
    </w:p>
    <w:p>
      <w:pPr>
        <w:sectPr>
          <w:pgSz w:w="11900" w:h="16838" w:orient="portrait"/>
          <w:cols w:equalWidth="0" w:num="2">
            <w:col w:w="4380" w:space="720"/>
            <w:col w:w="5980"/>
          </w:cols>
          <w:pgMar w:left="400" w:top="725" w:right="419" w:bottom="1440" w:gutter="0" w:footer="0" w:header="0"/>
          <w:type w:val="continuous"/>
        </w:sectPr>
      </w:pPr>
    </w:p>
    <w:p>
      <w:pPr>
        <w:ind w:left="5100"/>
        <w:spacing w:after="0" w:line="264" w:lineRule="auto"/>
        <w:rPr>
          <w:sz w:val="20"/>
          <w:szCs w:val="20"/>
          <w:color w:val="auto"/>
        </w:rPr>
      </w:pPr>
      <w:r>
        <w:rPr>
          <w:rFonts w:ascii="Times New Roman" w:cs="Times New Roman" w:eastAsia="Times New Roman" w:hAnsi="Times New Roman"/>
          <w:sz w:val="14"/>
          <w:szCs w:val="14"/>
          <w:color w:val="auto"/>
        </w:rPr>
        <w:t>US$1,000,000,000 aggregate principal amount of 5.450% Senior Notes due 2036 (the “2036 Notes” and, together with the 2031 Notes, the “Notes”).</w:t>
      </w:r>
    </w:p>
    <w:p>
      <w:pPr>
        <w:sectPr>
          <w:pgSz w:w="11900" w:h="16838" w:orient="portrait"/>
          <w:cols w:equalWidth="0" w:num="1">
            <w:col w:w="11080"/>
          </w:cols>
          <w:pgMar w:left="400" w:top="725" w:right="41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Maturity 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2031 Notes will mature on March 27, 2031.</w:t>
      </w:r>
    </w:p>
    <w:p>
      <w:pPr>
        <w:spacing w:after="0" w:line="189" w:lineRule="exact"/>
        <w:rPr>
          <w:sz w:val="20"/>
          <w:szCs w:val="20"/>
          <w:color w:val="auto"/>
        </w:rPr>
      </w:pPr>
    </w:p>
    <w:p>
      <w:pPr>
        <w:sectPr>
          <w:pgSz w:w="11900" w:h="16838" w:orient="portrait"/>
          <w:cols w:equalWidth="0" w:num="2">
            <w:col w:w="4380" w:space="720"/>
            <w:col w:w="5980"/>
          </w:cols>
          <w:pgMar w:left="400" w:top="725" w:right="41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2"/>
          <w:szCs w:val="12"/>
          <w:color w:val="auto"/>
        </w:rPr>
        <w:t>The 2036 Notes will mature on March 27, 2036.</w:t>
      </w:r>
    </w:p>
    <w:p>
      <w:pPr>
        <w:sectPr>
          <w:pgSz w:w="11900" w:h="16838" w:orient="portrait"/>
          <w:cols w:equalWidth="0" w:num="1">
            <w:col w:w="11080"/>
          </w:cols>
          <w:pgMar w:left="400" w:top="725" w:right="41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2031 Notes will bear interest at a rate of 4.850% per annum, payable semi-annually on March 27 and September 27 of each year, beginning on September 27, 2026.</w:t>
      </w:r>
    </w:p>
    <w:p>
      <w:pPr>
        <w:spacing w:after="0" w:line="136" w:lineRule="exact"/>
        <w:rPr>
          <w:sz w:val="20"/>
          <w:szCs w:val="20"/>
          <w:color w:val="auto"/>
        </w:rPr>
      </w:pPr>
    </w:p>
    <w:p>
      <w:pPr>
        <w:sectPr>
          <w:pgSz w:w="11900" w:h="16838" w:orient="portrait"/>
          <w:cols w:equalWidth="0" w:num="2">
            <w:col w:w="4380" w:space="720"/>
            <w:col w:w="5980"/>
          </w:cols>
          <w:pgMar w:left="400" w:top="725" w:right="419" w:bottom="1440" w:gutter="0" w:footer="0" w:header="0"/>
          <w:type w:val="continuous"/>
        </w:sectPr>
      </w:pPr>
    </w:p>
    <w:p>
      <w:pPr>
        <w:ind w:left="5100"/>
        <w:spacing w:after="0" w:line="264" w:lineRule="auto"/>
        <w:rPr>
          <w:sz w:val="20"/>
          <w:szCs w:val="20"/>
          <w:color w:val="auto"/>
        </w:rPr>
      </w:pPr>
      <w:r>
        <w:rPr>
          <w:rFonts w:ascii="Times New Roman" w:cs="Times New Roman" w:eastAsia="Times New Roman" w:hAnsi="Times New Roman"/>
          <w:sz w:val="14"/>
          <w:szCs w:val="14"/>
          <w:color w:val="auto"/>
        </w:rPr>
        <w:t>The 2036 Notes will bear interest at a rate of 5.450% per annum, payable semi-annually on March 27 and September 27 of each year, beginning on September 27, 2026.</w:t>
      </w:r>
    </w:p>
    <w:p>
      <w:pPr>
        <w:spacing w:after="0" w:line="1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Interest on the Notes of each series will accrue from March 27, 2026.</w:t>
      </w:r>
    </w:p>
    <w:p>
      <w:pPr>
        <w:spacing w:after="0" w:line="1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2"/>
          <w:szCs w:val="12"/>
          <w:color w:val="auto"/>
        </w:rPr>
        <w:t>Interest on the Notes of each series will be computed on the basis of a 360-day year of twelve 30-day months.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9525</wp:posOffset>
            </wp:positionV>
            <wp:extent cx="71659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80"/>
          </w:cols>
          <w:pgMar w:left="400" w:top="725" w:right="41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350"/>
        </w:trPr>
        <w:tc>
          <w:tcPr>
            <w:tcW w:w="344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Ranking of the Notes</w:t>
            </w:r>
          </w:p>
        </w:tc>
        <w:tc>
          <w:tcPr>
            <w:tcW w:w="7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highlight w:val="white"/>
              </w:rPr>
              <w:t>The Notes will be our direct, unsecured and unsubordinated obligations and will rank equally with all of our</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highlight w:val="white"/>
              </w:rPr>
              <w:t>existing and future unsecured and unsubordinated debt. Our business operations are conducted substantially</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highlight w:val="white"/>
              </w:rPr>
              <w:t>through our subsidiaries and through our partnerships and joint ventures. The Notes will be structurally</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highlight w:val="white"/>
              </w:rPr>
              <w:t>subordinated to all existing and future liabilities of our subsidiaries other than the Guarantors. See</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highlight w:val="white"/>
              </w:rPr>
              <w:t>“Description of the Notes and the Guarantees — General” in this prospectus supplement.</w:t>
            </w:r>
          </w:p>
        </w:tc>
      </w:tr>
      <w:tr>
        <w:trPr>
          <w:trHeight w:val="315"/>
        </w:trPr>
        <w:tc>
          <w:tcPr>
            <w:tcW w:w="344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As of December 31, 2025, the long-term debt (excluding current portion, as well as guarantees and</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intercompany obligations between the Corporation and its subsidiaries) of the Corporation’s subsidiaries</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other than the Guarantors totaled approximately $33,226 million.</w:t>
            </w:r>
          </w:p>
        </w:tc>
      </w:tr>
      <w:tr>
        <w:trPr>
          <w:trHeight w:val="315"/>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w w:val="98"/>
              </w:rPr>
              <w:t>The Notes will be fully, unconditionally, irrevocably, absolutely and jointly and severally guaranteed by each</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of the Guarantors. The guarantees of the Notes will be general, unsecured, senior obligations of each of the</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Guarantors and will rank equally with  all other  existing and future unsecured and unsubordinated</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indebtedness of that Guarantor, other than preferred claims imposed by statute.</w:t>
            </w:r>
          </w:p>
        </w:tc>
      </w:tr>
      <w:tr>
        <w:trPr>
          <w:trHeight w:val="315"/>
        </w:trPr>
        <w:tc>
          <w:tcPr>
            <w:tcW w:w="344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w w:val="99"/>
              </w:rPr>
              <w:t>Pursuant to the Indenture (as defined herein) governing the Notes, the guarantees of either Guarantor will be</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unconditionally released and discharged automatically upon the occurrence of certain events as described</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under “Description of the Notes and the Guarantees — Guarantees” in this prospectus supplement.</w:t>
            </w:r>
          </w:p>
        </w:tc>
      </w:tr>
      <w:tr>
        <w:trPr>
          <w:trHeight w:val="315"/>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We may redeem some or all of the Notes of each series at any time. If any of the Notes are redeemed at any</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time prior to their applicable Par Call Date (as defined herein), then the redemption price will equal the</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w w:val="99"/>
              </w:rPr>
              <w:t>applicable “make-whole” price described in this prospectus supplement under “Description of the Notes and</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the Guarantees — Optional Redemption”, plus accrued and unpaid interest to the redemption date.</w:t>
            </w:r>
          </w:p>
        </w:tc>
      </w:tr>
      <w:tr>
        <w:trPr>
          <w:trHeight w:val="315"/>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 in Tax Redemption</w:t>
            </w: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We may redeem the Notes of any series in whole, but not in part, at the redemption price equal to the</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principal amount of Notes being redeemed, plus accrued and unpaid interest to the redemption date, at any</w:t>
            </w:r>
          </w:p>
        </w:tc>
      </w:tr>
      <w:tr>
        <w:trPr>
          <w:trHeight w:val="163"/>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time in the event certain changes affecting Canadian withholding taxes occur. See “Description of the Notes</w:t>
            </w:r>
          </w:p>
        </w:tc>
      </w:tr>
      <w:tr>
        <w:trPr>
          <w:trHeight w:val="175"/>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14"/>
                <w:szCs w:val="14"/>
                <w:color w:val="auto"/>
              </w:rPr>
              <w:t>and the Guarantees — Redemption — Tax Redemption” in this prospectus supplement.</w:t>
            </w:r>
          </w:p>
        </w:tc>
      </w:tr>
      <w:tr>
        <w:trPr>
          <w:trHeight w:val="190"/>
        </w:trPr>
        <w:tc>
          <w:tcPr>
            <w:tcW w:w="3440" w:type="dxa"/>
            <w:vAlign w:val="bottom"/>
            <w:tcBorders>
              <w:left w:val="single" w:sz="8" w:color="auto"/>
              <w:bottom w:val="single" w:sz="8" w:color="auto"/>
            </w:tcBorders>
          </w:tcPr>
          <w:p>
            <w:pPr>
              <w:spacing w:after="0"/>
              <w:rPr>
                <w:sz w:val="16"/>
                <w:szCs w:val="16"/>
                <w:color w:val="auto"/>
              </w:rPr>
            </w:pPr>
          </w:p>
        </w:tc>
        <w:tc>
          <w:tcPr>
            <w:tcW w:w="7860" w:type="dxa"/>
            <w:vAlign w:val="bottom"/>
            <w:tcBorders>
              <w:bottom w:val="single" w:sz="8" w:color="auto"/>
              <w:right w:val="single" w:sz="8" w:color="auto"/>
            </w:tcBorders>
          </w:tcPr>
          <w:p>
            <w:pPr>
              <w:spacing w:after="0"/>
              <w:rPr>
                <w:sz w:val="16"/>
                <w:szCs w:val="16"/>
                <w:color w:val="auto"/>
              </w:rPr>
            </w:pPr>
          </w:p>
        </w:tc>
      </w:tr>
      <w:tr>
        <w:trPr>
          <w:trHeight w:val="321"/>
        </w:trPr>
        <w:tc>
          <w:tcPr>
            <w:tcW w:w="34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color w:val="auto"/>
              </w:rPr>
              <w:t>S-3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-2729230</wp:posOffset>
            </wp:positionV>
            <wp:extent cx="2603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6035" cy="97155"/>
                    </a:xfrm>
                    <a:prstGeom prst="rect">
                      <a:avLst/>
                    </a:prstGeom>
                    <a:noFill/>
                  </pic:spPr>
                </pic:pic>
              </a:graphicData>
            </a:graphic>
          </wp:anchor>
        </w:drawing>
      </w:r>
    </w:p>
    <w:p>
      <w:pPr>
        <w:sectPr>
          <w:pgSz w:w="11900" w:h="16838" w:orient="portrait"/>
          <w:cols w:equalWidth="0" w:num="1">
            <w:col w:w="11300"/>
          </w:cols>
          <w:pgMar w:left="300" w:top="544" w:right="29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361"/>
        </w:trPr>
        <w:tc>
          <w:tcPr>
            <w:tcW w:w="34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Sinking Fund</w:t>
            </w:r>
          </w:p>
        </w:tc>
        <w:tc>
          <w:tcPr>
            <w:tcW w:w="790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The Notes will not be entitled to the benefit of a sinking fund.</w:t>
            </w:r>
          </w:p>
        </w:tc>
      </w:tr>
      <w:tr>
        <w:trPr>
          <w:trHeight w:val="315"/>
        </w:trPr>
        <w:tc>
          <w:tcPr>
            <w:tcW w:w="34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w w:val="99"/>
              </w:rPr>
              <w:t>We estimate that the net proceeds from the offering of the Notes, after deducting underwriting discounts and</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w w:val="98"/>
              </w:rPr>
              <w:t>commissions and the estimated expenses of the offering, will be approximately US$1,981,920,000. We intend</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to use the net proceeds from this offering to reduce our existing indebtedness, to finance future growth</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w w:val="99"/>
              </w:rPr>
              <w:t>opportunities, including acquisitions, if any, and capital expenditures or for other general corporate purposes.</w:t>
            </w:r>
          </w:p>
        </w:tc>
      </w:tr>
      <w:tr>
        <w:trPr>
          <w:trHeight w:val="175"/>
        </w:trPr>
        <w:tc>
          <w:tcPr>
            <w:tcW w:w="3400" w:type="dxa"/>
            <w:vAlign w:val="bottom"/>
            <w:tcBorders>
              <w:left w:val="single" w:sz="8" w:color="auto"/>
            </w:tcBorders>
          </w:tcPr>
          <w:p>
            <w:pPr>
              <w:spacing w:after="0"/>
              <w:rPr>
                <w:sz w:val="15"/>
                <w:szCs w:val="15"/>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See “Use of Proceeds” in this prospectus supplement.</w:t>
            </w:r>
          </w:p>
        </w:tc>
      </w:tr>
      <w:tr>
        <w:trPr>
          <w:trHeight w:val="315"/>
        </w:trPr>
        <w:tc>
          <w:tcPr>
            <w:tcW w:w="34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 Amounts</w:t>
            </w: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Any payments made by us with respect to the Notes of a series will be made without withholding or</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deduction for Canadian taxes unless required to be withheld or deducted by law or by the interpretation or</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administration thereof. If we are so required to withhold or deduct for Canadian taxes with respect to a</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payment to the holders of Notes of a series, we will pay the additional amounts necessary so that the net</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amounts received by the holders of those Notes after the withholding or deduction is not less than the</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amounts that those holders would have received in the absence of the withholding or deduction, subject to</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certain exceptions and limitations. See “Description of the Notes and the Guarantees — Payment of</w:t>
            </w:r>
          </w:p>
        </w:tc>
      </w:tr>
      <w:tr>
        <w:trPr>
          <w:trHeight w:val="175"/>
        </w:trPr>
        <w:tc>
          <w:tcPr>
            <w:tcW w:w="3400" w:type="dxa"/>
            <w:vAlign w:val="bottom"/>
            <w:tcBorders>
              <w:left w:val="single" w:sz="8" w:color="auto"/>
            </w:tcBorders>
          </w:tcPr>
          <w:p>
            <w:pPr>
              <w:spacing w:after="0"/>
              <w:rPr>
                <w:sz w:val="15"/>
                <w:szCs w:val="15"/>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Additional Amounts” in this prospectus supplement.</w:t>
            </w:r>
          </w:p>
        </w:tc>
      </w:tr>
      <w:tr>
        <w:trPr>
          <w:trHeight w:val="315"/>
        </w:trPr>
        <w:tc>
          <w:tcPr>
            <w:tcW w:w="34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The Notes will be represented by one or more fully registered global notes deposited in book-entry form</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with, or on behalf of, The Depository Trust Company, and registered in the name of its nominee. See</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w w:val="99"/>
              </w:rPr>
              <w:t>“Description of the Notes and the Guarantees — Book-Entry System” in this prospectus supplement. Except</w:t>
            </w:r>
          </w:p>
        </w:tc>
      </w:tr>
      <w:tr>
        <w:trPr>
          <w:trHeight w:val="163"/>
        </w:trPr>
        <w:tc>
          <w:tcPr>
            <w:tcW w:w="3400" w:type="dxa"/>
            <w:vAlign w:val="bottom"/>
            <w:tcBorders>
              <w:left w:val="single" w:sz="8" w:color="auto"/>
            </w:tcBorders>
          </w:tcPr>
          <w:p>
            <w:pPr>
              <w:spacing w:after="0"/>
              <w:rPr>
                <w:sz w:val="14"/>
                <w:szCs w:val="14"/>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as described under “Description of the Notes and the Guarantees” in this prospectus supplement, Notes in</w:t>
            </w:r>
          </w:p>
        </w:tc>
      </w:tr>
      <w:tr>
        <w:trPr>
          <w:trHeight w:val="175"/>
        </w:trPr>
        <w:tc>
          <w:tcPr>
            <w:tcW w:w="3400" w:type="dxa"/>
            <w:vAlign w:val="bottom"/>
            <w:tcBorders>
              <w:left w:val="single" w:sz="8" w:color="auto"/>
            </w:tcBorders>
          </w:tcPr>
          <w:p>
            <w:pPr>
              <w:spacing w:after="0"/>
              <w:rPr>
                <w:sz w:val="15"/>
                <w:szCs w:val="15"/>
                <w:color w:val="auto"/>
              </w:rPr>
            </w:pP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certificated form will not be issued.</w:t>
            </w:r>
          </w:p>
        </w:tc>
      </w:tr>
      <w:tr>
        <w:trPr>
          <w:trHeight w:val="347"/>
        </w:trPr>
        <w:tc>
          <w:tcPr>
            <w:tcW w:w="34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Trustee and Paying Agent</w:t>
            </w:r>
          </w:p>
        </w:tc>
        <w:tc>
          <w:tcPr>
            <w:tcW w:w="7900" w:type="dxa"/>
            <w:vAlign w:val="bottom"/>
            <w:tcBorders>
              <w:right w:val="single" w:sz="8" w:color="auto"/>
            </w:tcBorders>
          </w:tcPr>
          <w:p>
            <w:pPr>
              <w:ind w:left="1800"/>
              <w:spacing w:after="0"/>
              <w:rPr>
                <w:sz w:val="20"/>
                <w:szCs w:val="20"/>
                <w:color w:val="auto"/>
              </w:rPr>
            </w:pPr>
            <w:r>
              <w:rPr>
                <w:rFonts w:ascii="Times New Roman" w:cs="Times New Roman" w:eastAsia="Times New Roman" w:hAnsi="Times New Roman"/>
                <w:sz w:val="14"/>
                <w:szCs w:val="14"/>
                <w:color w:val="auto"/>
              </w:rPr>
              <w:t>Deutsche Bank Trust Company Americas.</w:t>
            </w:r>
          </w:p>
        </w:tc>
      </w:tr>
      <w:tr>
        <w:trPr>
          <w:trHeight w:val="190"/>
        </w:trPr>
        <w:tc>
          <w:tcPr>
            <w:tcW w:w="3400" w:type="dxa"/>
            <w:vAlign w:val="bottom"/>
            <w:tcBorders>
              <w:left w:val="single" w:sz="8" w:color="auto"/>
              <w:bottom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r>
      <w:tr>
        <w:trPr>
          <w:trHeight w:val="321"/>
        </w:trPr>
        <w:tc>
          <w:tcPr>
            <w:tcW w:w="34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11300"/>
          </w:cols>
          <w:pgMar w:left="300" w:top="544" w:right="2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0"/>
        </w:trPr>
        <w:tc>
          <w:tcPr>
            <w:tcW w:w="37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760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The Notes and the related guarantees will be, and the Indenture is, governed by the laws of the State of New</w:t>
            </w:r>
          </w:p>
        </w:tc>
      </w:tr>
      <w:tr>
        <w:trPr>
          <w:trHeight w:val="175"/>
        </w:trPr>
        <w:tc>
          <w:tcPr>
            <w:tcW w:w="3700" w:type="dxa"/>
            <w:vAlign w:val="bottom"/>
            <w:tcBorders>
              <w:left w:val="single" w:sz="8" w:color="auto"/>
            </w:tcBorders>
          </w:tcPr>
          <w:p>
            <w:pPr>
              <w:spacing w:after="0"/>
              <w:rPr>
                <w:sz w:val="15"/>
                <w:szCs w:val="15"/>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York.</w:t>
            </w:r>
          </w:p>
        </w:tc>
      </w:tr>
      <w:tr>
        <w:trPr>
          <w:trHeight w:val="315"/>
        </w:trPr>
        <w:tc>
          <w:tcPr>
            <w:tcW w:w="37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Investing in the Notes involves risks. See “Risk Factors” beginning on page S-6 of this prospectus</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supplement for a discussion of factors that you should refer to and carefully consider before deciding to</w:t>
            </w:r>
          </w:p>
        </w:tc>
      </w:tr>
      <w:tr>
        <w:trPr>
          <w:trHeight w:val="175"/>
        </w:trPr>
        <w:tc>
          <w:tcPr>
            <w:tcW w:w="3700" w:type="dxa"/>
            <w:vAlign w:val="bottom"/>
            <w:tcBorders>
              <w:left w:val="single" w:sz="8" w:color="auto"/>
            </w:tcBorders>
          </w:tcPr>
          <w:p>
            <w:pPr>
              <w:spacing w:after="0"/>
              <w:rPr>
                <w:sz w:val="15"/>
                <w:szCs w:val="15"/>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invest in these Notes.</w:t>
            </w:r>
          </w:p>
        </w:tc>
      </w:tr>
      <w:tr>
        <w:trPr>
          <w:trHeight w:val="315"/>
        </w:trPr>
        <w:tc>
          <w:tcPr>
            <w:tcW w:w="37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Lack of Public Market for the Notes</w:t>
            </w: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w w:val="98"/>
              </w:rPr>
              <w:t>Each series of the Notes is a new issue of securities with no established trading market. The Notes will not be</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w w:val="98"/>
              </w:rPr>
              <w:t>listed on any automated dealer quotation system, and we do not intend to apply for listing of the Notes on any</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securities exchange. The underwriters have advised us that they currently intend to make a market in the</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w w:val="98"/>
              </w:rPr>
              <w:t>Notes. However, they are not obligated to do so, and they may discontinue any market-making activities with</w:t>
            </w:r>
          </w:p>
        </w:tc>
      </w:tr>
      <w:tr>
        <w:trPr>
          <w:trHeight w:val="175"/>
        </w:trPr>
        <w:tc>
          <w:tcPr>
            <w:tcW w:w="3700" w:type="dxa"/>
            <w:vAlign w:val="bottom"/>
            <w:tcBorders>
              <w:left w:val="single" w:sz="8" w:color="auto"/>
            </w:tcBorders>
          </w:tcPr>
          <w:p>
            <w:pPr>
              <w:spacing w:after="0"/>
              <w:rPr>
                <w:sz w:val="15"/>
                <w:szCs w:val="15"/>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respect to the Notes at any time without notice.</w:t>
            </w:r>
          </w:p>
        </w:tc>
      </w:tr>
      <w:tr>
        <w:trPr>
          <w:trHeight w:val="315"/>
        </w:trPr>
        <w:tc>
          <w:tcPr>
            <w:tcW w:w="37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Conflicts of Interest</w:t>
            </w: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We may have outstanding existing indebtedness owing to certain of the underwriters and affiliates of the</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underwriters, a portion of which we may repay with the net proceeds from this offering. See “Use of</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Proceeds” in this prospectus supplement. As a result, one or more of the underwriters or their affiliates may</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receive more than 5% of the net proceeds from this offering in the form of the repayment of existing</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indebtedness. Accordingly, this offering is being made pursuant to Rule 5121 of the Financial Industry</w:t>
            </w:r>
          </w:p>
        </w:tc>
      </w:tr>
      <w:tr>
        <w:trPr>
          <w:trHeight w:val="163"/>
        </w:trPr>
        <w:tc>
          <w:tcPr>
            <w:tcW w:w="3700" w:type="dxa"/>
            <w:vAlign w:val="bottom"/>
            <w:tcBorders>
              <w:left w:val="single" w:sz="8" w:color="auto"/>
            </w:tcBorders>
          </w:tcPr>
          <w:p>
            <w:pPr>
              <w:spacing w:after="0"/>
              <w:rPr>
                <w:sz w:val="14"/>
                <w:szCs w:val="14"/>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w w:val="98"/>
              </w:rPr>
              <w:t>Regulatory Authority, Inc. Pursuant to this rule, the appointment of a qualified independent underwriter is not</w:t>
            </w:r>
          </w:p>
        </w:tc>
      </w:tr>
      <w:tr>
        <w:trPr>
          <w:trHeight w:val="175"/>
        </w:trPr>
        <w:tc>
          <w:tcPr>
            <w:tcW w:w="3700" w:type="dxa"/>
            <w:vAlign w:val="bottom"/>
            <w:tcBorders>
              <w:left w:val="single" w:sz="8" w:color="auto"/>
            </w:tcBorders>
          </w:tcPr>
          <w:p>
            <w:pPr>
              <w:spacing w:after="0"/>
              <w:rPr>
                <w:sz w:val="15"/>
                <w:szCs w:val="15"/>
                <w:color w:val="auto"/>
              </w:rPr>
            </w:pPr>
          </w:p>
        </w:tc>
        <w:tc>
          <w:tcPr>
            <w:tcW w:w="76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4"/>
                <w:szCs w:val="14"/>
                <w:color w:val="auto"/>
              </w:rPr>
              <w:t>necessary in connection with this offering, because the conditions of Rule 5121(a)(1)(C) are satisfied.</w:t>
            </w:r>
          </w:p>
        </w:tc>
      </w:tr>
      <w:tr>
        <w:trPr>
          <w:trHeight w:val="170"/>
        </w:trPr>
        <w:tc>
          <w:tcPr>
            <w:tcW w:w="3700" w:type="dxa"/>
            <w:vAlign w:val="bottom"/>
            <w:tcBorders>
              <w:left w:val="single" w:sz="8" w:color="auto"/>
              <w:bottom w:val="single" w:sz="8" w:color="auto"/>
            </w:tcBorders>
          </w:tcPr>
          <w:p>
            <w:pPr>
              <w:spacing w:after="0"/>
              <w:rPr>
                <w:sz w:val="14"/>
                <w:szCs w:val="14"/>
                <w:color w:val="auto"/>
              </w:rPr>
            </w:pPr>
          </w:p>
        </w:tc>
        <w:tc>
          <w:tcPr>
            <w:tcW w:w="7600" w:type="dxa"/>
            <w:vAlign w:val="bottom"/>
            <w:tcBorders>
              <w:bottom w:val="single" w:sz="8" w:color="auto"/>
              <w:right w:val="single" w:sz="8" w:color="auto"/>
            </w:tcBorders>
          </w:tcPr>
          <w:p>
            <w:pPr>
              <w:spacing w:after="0"/>
              <w:rPr>
                <w:sz w:val="14"/>
                <w:szCs w:val="14"/>
                <w:color w:val="auto"/>
              </w:rPr>
            </w:pPr>
          </w:p>
        </w:tc>
      </w:tr>
      <w:tr>
        <w:trPr>
          <w:trHeight w:val="321"/>
        </w:trPr>
        <w:tc>
          <w:tcPr>
            <w:tcW w:w="37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11300"/>
          </w:cols>
          <w:pgMar w:left="300" w:top="544"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i w:val="1"/>
          <w:iCs w:val="1"/>
          <w:color w:val="auto"/>
        </w:rPr>
        <w:t>You should consider carefully the following risks and other information contained in and incorporated by reference into this prospectus supplement and the accompanying prospectus before deciding to invest in the Notes of any series. In particular, we urge you to consider carefully the following risk factors, as well as the risk factors set forth under the heading “Item 1A. Risk Factors” in the 2025 Annual Report, incorporated by reference into this prospectus supplement and the accompanying prospectus. The following risks and uncertainties as well as risks and uncertainties presently unknown to us could materially and adversely affect our financial condition and results of operations. In that event, the value of our securities, including the Notes, or our ability to meet our obligations under the Notes, may be adversely affected.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as a result are dependent on our subsidiaries to generate sufficient cash and distribute cash to us to service our indebtedness, including the Notes.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Our ability to make payments on our indebtedness, fund our ongoing operations and invest in capital expenditures and any acquisitions will depend on our subsidiaries’ (including subsidiary partnerships and joint-ventures through which we conduct business) ability to generate cash in the future and distribute that cash to us. It is possible that our subsidiaries may not generate cash from operations in an amount sufficient to enable us to service our indebtedness, including the Notes of any series. The Notes are U.S. dollar-denominated obligations and a substantial portion of our subsidiaries’ revenues are denominated in Canadian dollars. Fluctuations in the exchange rate between the U.S. and Canadian dollars may adversely affect our ability to service or refinance our U.S. dollar-denominated indebtedness, including the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Notes are structurally subordinated to the indebtedness of our non-Guarantor subsidiaries.</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Notes are not guaranteed by our subsidiaries (including subsidiary partnerships and joint ventures through which we conduct business) that are not Guarantors and are thus structurally subordinated to all of the debt of these subsidiaries. Additionally, each of the Guarantors will be released from its guarantees following the repayment in full or discharge or defeasance of such Guarantor’s debt securities outstanding as of January 22, 2019, or upon the occurrence of certain other events, as described under “Description of the Notes and the Guarantees — Guarantees” in this prospectus supplement, in which case the Notes will be structurally subordinated to all of the debt of that former guarantor subsidiary. The Corporation’s interests in its subsidiaries and the partnerships and joint ventures through which it conducts business generally consist of equity interests, which are residual claims on the assets of those entities after their creditors are satisfied. As at December 31, 2025, the long-term debt (excluding current portion, as well as guarantees and intercompany obligations between the Corporation and its subsidiaries) of the subsidiaries of the Corporation other than the Guarantors totaled approximately $33,226 million.</w:t>
      </w:r>
    </w:p>
    <w:p>
      <w:pPr>
        <w:spacing w:after="0" w:line="14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Indenture restricts our ability to incur liens, but places no such restriction on our subsidiaries or the partnerships and joint ventures through which we conduct business. Holders of parent company indebtedness that is secured by parent company assets will have a claim on the assets securing the indebtedness that is prior in right of payment to our general unsecured creditors, including you as a holder of the Notes (a “Noteholder”). The Indenture permits us to incur additional liens as described under “Description of the Notes and the Guarantees — Covenants — Limitation on Security Interests” in this prospectus supplement.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Your right to receive payments on the Notes is effectively subordinate to those lenders who have a security interest in the assets of the Corporation or the Guarantors.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Notes and the related guarantees are unsecured. The Corporation or the Guarantors may incur indebtedness that is secured by certain or substantially all of their respective tangible and intangible assets, including the equity interests of each of their existing and future subsidiaries. If the Corporation or the Guarantors were unable to repay any such secured indebtedness, the creditors of those obligations could foreclose on the pledged assets to the exclusion of Noteholders, even if an event of default exists under the Indenture at such time. As at December 31, 2025, neither SEP nor EEP had any secured indebtedness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the Notes of any series before they mature, which could occur when prevailing interest rates are relatively low.</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Corporation may redeem the Notes of any series in the circumstances described under “Description of the Notes and the Guarantees — Redemption — Optional Redemption” or in the circumstances described under “Description of the Notes and the Guarantees — Redemption — Tax Redemption” in this prospectus supplement, which may occur when prevailing interest rates are lower than the rates borne by the Notes. These redemption rights may, depending on prevailing market conditions at the time, create reinvestment risk for the Noteholders of a series of Notes in that they may be unable to find a suitable replacement investment with a comparable return to those Notes. If prevailing rates are lower at the time of redemption, Noteholders may not be able to reinvest the redemption proceeds in a comparable security at an effective interest rate as high as the interest rate on the Notes being redeemed. Our redemption right also may adversely affect Noteholders’ ability to sell the Notes if and at any time after the Notes are called for partial or full redemption.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Federal and state statutes allow courts, under specific circumstances, to void the guarantees of the Notes by our Guarantors and require the Noteholders to return payments received from the Guarantors.</w:t>
      </w:r>
    </w:p>
    <w:p>
      <w:pPr>
        <w:spacing w:after="0" w:line="132"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Under U.S. bankruptcy law and comparable provisions of state fraudulent transfer laws, a guarantee can be voided, or claims under the guarantee may be subordinated to all other debts of that guarantor if, among other things, the guarantor, at the time it incurred the indebtedness evidenced by its guarantee or, in some states, when payments become due under the guarantee:</w:t>
      </w:r>
    </w:p>
    <w:p>
      <w:pPr>
        <w:spacing w:after="0" w:line="136" w:lineRule="exact"/>
        <w:rPr>
          <w:sz w:val="20"/>
          <w:szCs w:val="20"/>
          <w:color w:val="auto"/>
        </w:rPr>
      </w:pPr>
    </w:p>
    <w:p>
      <w:pPr>
        <w:ind w:left="980" w:hanging="243"/>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less than reasonably equivalent value or fair consideration for the incurrence of the guarantee and was insolvent or rendered insolvent by reason of such incurrence;</w:t>
      </w:r>
    </w:p>
    <w:p>
      <w:pPr>
        <w:spacing w:after="0" w:line="165"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engaged in a business or transaction for which the guarantor’s remaining assets constituted unreasonably small capital; or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16" w:name="page17"/>
    <w:bookmarkEnd w:id="16"/>
    <w:p>
      <w:pPr>
        <w:ind w:left="980" w:hanging="243"/>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incur, or believed that it would incur, debts beyond its ability to pay those debts as they mature.</w:t>
      </w:r>
    </w:p>
    <w:p>
      <w:pPr>
        <w:spacing w:after="0" w:line="16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 guarantee may also be voided, without regard to the above factors, if a court found that the guarantor entered into the guarantee with the actual intent to hinder, delay or defraud its creditors. A court would likely find that a guarantor did not receive reasonably equivalent value or fair consideration for its guarantee if the guarantor did not substantially benefit directly or indirectly from the issuance of the Notes. If a court were to void a guarantee with respect to the Notes of any series, the applicable Noteholders would no longer have a claim against the applicable Guarantor. Sufficient funds to repay those Notes may not be available from other sources. In addition, the court might direct you to repay any amounts that you already received in respect of those Notes from the Guarantor.</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measures of insolvency for purposes of fraudulent transfer laws vary depending upon the governing law. Generally, a guarantor would be considered insolvent if:</w:t>
      </w:r>
    </w:p>
    <w:p>
      <w:pPr>
        <w:spacing w:after="0" w:line="166" w:lineRule="exact"/>
        <w:rPr>
          <w:sz w:val="20"/>
          <w:szCs w:val="20"/>
          <w:color w:val="auto"/>
        </w:rPr>
      </w:pPr>
    </w:p>
    <w:p>
      <w:pPr>
        <w:ind w:left="980" w:hanging="243"/>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its debts, including contingent liabilities, was greater than the fair saleable value of all its assets;</w:t>
      </w:r>
    </w:p>
    <w:p>
      <w:pPr>
        <w:spacing w:after="0" w:line="165" w:lineRule="exact"/>
        <w:rPr>
          <w:rFonts w:ascii="Times New Roman" w:cs="Times New Roman" w:eastAsia="Times New Roman" w:hAnsi="Times New Roman"/>
          <w:sz w:val="14"/>
          <w:szCs w:val="14"/>
          <w:color w:val="auto"/>
        </w:rPr>
      </w:pPr>
    </w:p>
    <w:p>
      <w:pPr>
        <w:ind w:left="980" w:hanging="243"/>
        <w:spacing w:after="0" w:line="264" w:lineRule="auto"/>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fair saleable value of its assets was less than the amount that would be required to pay its probable liability, including contingent liabilities, as they became absolute and mature; or</w:t>
      </w:r>
    </w:p>
    <w:p>
      <w:pPr>
        <w:spacing w:after="0" w:line="136"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could not pay its debts as they became due.</w:t>
      </w:r>
    </w:p>
    <w:p>
      <w:pPr>
        <w:spacing w:after="0" w:line="166" w:lineRule="exact"/>
        <w:rPr>
          <w:sz w:val="20"/>
          <w:szCs w:val="20"/>
          <w:color w:val="auto"/>
        </w:rPr>
      </w:pPr>
    </w:p>
    <w:p>
      <w:pPr>
        <w:jc w:val="both"/>
        <w:ind w:firstLine="490"/>
        <w:spacing w:after="0" w:line="349" w:lineRule="auto"/>
        <w:rPr>
          <w:sz w:val="20"/>
          <w:szCs w:val="20"/>
          <w:color w:val="auto"/>
        </w:rPr>
      </w:pPr>
      <w:r>
        <w:rPr>
          <w:rFonts w:ascii="Times New Roman" w:cs="Times New Roman" w:eastAsia="Times New Roman" w:hAnsi="Times New Roman"/>
          <w:sz w:val="12"/>
          <w:szCs w:val="12"/>
          <w:color w:val="auto"/>
        </w:rPr>
        <w:t>The guarantee for the Notes will contain a provision intended to limit the Guarantors’ liability to the maximum amount that they could incur without causing the incurrence of obligations under the guarantee to be a fraudulent conveyance or fraudulent transfer under U.S. federal or state law. This provision may not be effective to protect the guarantee from being voided under fraudulent transfer law.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provide assurance that an active trading market will develop for any series of the Notes.</w:t>
      </w:r>
    </w:p>
    <w:p>
      <w:pPr>
        <w:spacing w:after="0" w:line="170" w:lineRule="exact"/>
        <w:rPr>
          <w:sz w:val="20"/>
          <w:szCs w:val="20"/>
          <w:color w:val="auto"/>
        </w:rPr>
      </w:pPr>
    </w:p>
    <w:p>
      <w:pPr>
        <w:jc w:val="both"/>
        <w:ind w:firstLine="490"/>
        <w:spacing w:after="0" w:line="297" w:lineRule="auto"/>
        <w:rPr>
          <w:sz w:val="20"/>
          <w:szCs w:val="20"/>
          <w:color w:val="auto"/>
        </w:rPr>
      </w:pPr>
      <w:r>
        <w:rPr>
          <w:rFonts w:ascii="Times New Roman" w:cs="Times New Roman" w:eastAsia="Times New Roman" w:hAnsi="Times New Roman"/>
          <w:sz w:val="12"/>
          <w:szCs w:val="12"/>
          <w:color w:val="auto"/>
        </w:rPr>
        <w:t>Each series of the Notes is a new issue of securities with no established trading market. The underwriters have advised us that they intend to make a market in the Notes as permitted by applicable laws and regulations; however, the underwriters are not obligated to make a market in the Notes, and they may discontinue their market-making activities at any time without notice. Therefore, we cannot assure you that an active market for any series of the Notes will develop or, if developed, that it will continue. We cannot assure you that the market, if any, for any series of the Notes will be free from disruptions that may adversely affect the price at which you may sell such Notes. Future trading prices of the Notes will also depend on many other factors, including, among other things, prevailing interest rates, the market for similar securities, our financial performance and other factors. Generally, the liquidity of, and trading market for, the Notes may also be materially and adversely affected by declines in the market for similar debt securities. Such a decline may materially and adversely affect that liquidity and trading independent of our financial performance and prospects.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7" w:name="page18"/>
    <w:bookmarkEnd w:id="17"/>
    <w:p>
      <w:pPr>
        <w:ind w:left="4480"/>
        <w:spacing w:after="0"/>
        <w:rPr>
          <w:sz w:val="20"/>
          <w:szCs w:val="20"/>
          <w:color w:val="auto"/>
        </w:rPr>
      </w:pPr>
      <w:r>
        <w:rPr>
          <w:rFonts w:ascii="Times New Roman" w:cs="Times New Roman" w:eastAsia="Times New Roman" w:hAnsi="Times New Roman"/>
          <w:sz w:val="14"/>
          <w:szCs w:val="14"/>
          <w:b w:val="1"/>
          <w:bCs w:val="1"/>
          <w:color w:val="auto"/>
        </w:rPr>
        <w:t>CONSOLIDATED CAPITALIZATION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our consolidated capitalization as of December 31, 2025 on:</w:t>
      </w:r>
    </w:p>
    <w:p>
      <w:pPr>
        <w:spacing w:after="0" w:line="166" w:lineRule="exact"/>
        <w:rPr>
          <w:sz w:val="20"/>
          <w:szCs w:val="20"/>
          <w:color w:val="auto"/>
        </w:rPr>
      </w:pPr>
    </w:p>
    <w:p>
      <w:pPr>
        <w:ind w:left="740" w:hanging="248"/>
        <w:spacing w:after="0"/>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actual basis; and</w:t>
      </w:r>
    </w:p>
    <w:p>
      <w:pPr>
        <w:spacing w:after="0" w:line="165" w:lineRule="exact"/>
        <w:rPr>
          <w:rFonts w:ascii="Times New Roman" w:cs="Times New Roman" w:eastAsia="Times New Roman" w:hAnsi="Times New Roman"/>
          <w:sz w:val="14"/>
          <w:szCs w:val="14"/>
          <w:color w:val="auto"/>
        </w:rPr>
      </w:pPr>
    </w:p>
    <w:p>
      <w:pPr>
        <w:ind w:left="740" w:hanging="248"/>
        <w:spacing w:after="0" w:line="264"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 adjusted basis to give effect to the issuance and sale of the Notes described in this prospectus supplement, without giving effect to the application of the net proceeds thereof. See “Use of Proceeds” in this prospectus supplement.</w:t>
      </w:r>
    </w:p>
    <w:p>
      <w:pPr>
        <w:spacing w:after="0" w:line="13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You should read this table together with our “Management’s Discussion and Analysis of Financial Condition and Results of Operations”, the audited consolidated financial statements for the year ended December 31, 2025 and the related notes thereto in our 2025 Annual Report, which are incorporated by reference in this prospectus supplement and the accompanying prospectus. All U.S. dollar amounts in the following table have been converted to Canadian dollars using the exchange rate on December 31, 2025 of US$1.00 per $1.3708 as published by Bloomberg L.P.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64"/>
        </w:trPr>
        <w:tc>
          <w:tcPr>
            <w:tcW w:w="8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tcPr>
          <w:p>
            <w:pPr>
              <w:jc w:val="right"/>
              <w:ind w:right="772"/>
              <w:spacing w:after="0" w:line="154" w:lineRule="exact"/>
              <w:rPr>
                <w:sz w:val="20"/>
                <w:szCs w:val="20"/>
                <w:color w:val="auto"/>
              </w:rPr>
            </w:pPr>
            <w:r>
              <w:rPr>
                <w:rFonts w:ascii="Times New Roman" w:cs="Times New Roman" w:eastAsia="Times New Roman" w:hAnsi="Times New Roman"/>
                <w:sz w:val="14"/>
                <w:szCs w:val="14"/>
                <w:b w:val="1"/>
                <w:bCs w:val="1"/>
                <w:color w:val="auto"/>
              </w:rPr>
              <w:t>(millions of dollars)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4"/>
                <w:szCs w:val="14"/>
                <w:b w:val="1"/>
                <w:bCs w:val="1"/>
                <w:color w:val="auto"/>
              </w:rPr>
              <w:t>Cash and cash equivalents</w:t>
            </w:r>
            <w:r>
              <w:rPr>
                <w:rFonts w:ascii="Times New Roman" w:cs="Times New Roman" w:eastAsia="Times New Roman" w:hAnsi="Times New Roman"/>
                <w:sz w:val="22"/>
                <w:szCs w:val="22"/>
                <w:b w:val="1"/>
                <w:bCs w:val="1"/>
                <w:color w:val="auto"/>
                <w:vertAlign w:val="superscript"/>
              </w:rPr>
              <w:t>(1)</w:t>
            </w: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360" w:type="dxa"/>
            <w:vAlign w:val="bottom"/>
            <w:shd w:val="clear" w:color="auto" w:fill="CCEEFF"/>
          </w:tcPr>
          <w:p>
            <w:pPr>
              <w:ind w:left="200"/>
              <w:spacing w:after="0" w:line="194" w:lineRule="exact"/>
              <w:rPr>
                <w:sz w:val="20"/>
                <w:szCs w:val="20"/>
                <w:color w:val="auto"/>
              </w:rPr>
            </w:pPr>
            <w:r>
              <w:rPr>
                <w:rFonts w:ascii="Times New Roman" w:cs="Times New Roman" w:eastAsia="Times New Roman" w:hAnsi="Times New Roman"/>
                <w:sz w:val="14"/>
                <w:szCs w:val="14"/>
                <w:color w:val="auto"/>
              </w:rPr>
              <w:t>Long-term debt (excluding current portion)</w:t>
            </w:r>
            <w:r>
              <w:rPr>
                <w:rFonts w:ascii="Times New Roman" w:cs="Times New Roman" w:eastAsia="Times New Roman" w:hAnsi="Times New Roman"/>
                <w:sz w:val="22"/>
                <w:szCs w:val="22"/>
                <w:color w:val="auto"/>
                <w:vertAlign w:val="superscript"/>
              </w:rPr>
              <w:t>(2)(3)</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98,963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98,963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2031 Notes offered hereby (US$1,000,000,000)</w:t>
            </w:r>
          </w:p>
        </w:tc>
        <w:tc>
          <w:tcPr>
            <w:tcW w:w="2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2036 Notes offered hereby (US$1,000,000,000)</w:t>
            </w: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360" w:type="dxa"/>
            <w:vAlign w:val="bottom"/>
          </w:tcPr>
          <w:p>
            <w:pPr>
              <w:ind w:left="400"/>
              <w:spacing w:after="0" w:line="154" w:lineRule="exact"/>
              <w:rPr>
                <w:sz w:val="20"/>
                <w:szCs w:val="20"/>
                <w:color w:val="auto"/>
              </w:rPr>
            </w:pPr>
            <w:r>
              <w:rPr>
                <w:rFonts w:ascii="Times New Roman" w:cs="Times New Roman" w:eastAsia="Times New Roman" w:hAnsi="Times New Roman"/>
                <w:sz w:val="14"/>
                <w:szCs w:val="14"/>
                <w:b w:val="1"/>
                <w:bCs w:val="1"/>
                <w:color w:val="auto"/>
              </w:rPr>
              <w:t>Total long-term debt</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98,963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101,705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Preference shares</w:t>
            </w:r>
          </w:p>
        </w:tc>
        <w:tc>
          <w:tcPr>
            <w:tcW w:w="2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shares</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71,876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71,876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Deficit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(21,284)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(21,284)</w:t>
            </w:r>
          </w:p>
        </w:tc>
        <w:tc>
          <w:tcPr>
            <w:tcW w:w="0" w:type="dxa"/>
            <w:vAlign w:val="bottom"/>
          </w:tcPr>
          <w:p>
            <w:pPr>
              <w:spacing w:after="0"/>
              <w:rPr>
                <w:sz w:val="1"/>
                <w:szCs w:val="1"/>
                <w:color w:val="auto"/>
              </w:rPr>
            </w:pPr>
          </w:p>
        </w:tc>
      </w:tr>
      <w:tr>
        <w:trPr>
          <w:trHeight w:val="174"/>
        </w:trPr>
        <w:tc>
          <w:tcPr>
            <w:tcW w:w="8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4,681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360" w:type="dxa"/>
            <w:vAlign w:val="bottom"/>
            <w:tcBorders>
              <w:top w:val="single" w:sz="8" w:color="CCEEFF"/>
            </w:tcBorders>
            <w:shd w:val="clear" w:color="auto" w:fill="CCEEFF"/>
          </w:tcPr>
          <w:p>
            <w:pPr>
              <w:ind w:left="400"/>
              <w:spacing w:after="0" w:line="154" w:lineRule="exact"/>
              <w:rPr>
                <w:sz w:val="20"/>
                <w:szCs w:val="20"/>
                <w:color w:val="auto"/>
              </w:rPr>
            </w:pPr>
            <w:r>
              <w:rPr>
                <w:rFonts w:ascii="Times New Roman" w:cs="Times New Roman" w:eastAsia="Times New Roman" w:hAnsi="Times New Roman"/>
                <w:sz w:val="14"/>
                <w:szCs w:val="14"/>
                <w:color w:val="auto"/>
              </w:rPr>
              <w:t>Total Enbridge Inc. shareholders’ equity</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62,333</w:t>
            </w:r>
          </w:p>
        </w:tc>
        <w:tc>
          <w:tcPr>
            <w:tcW w:w="3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62,333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360" w:type="dxa"/>
            <w:vAlign w:val="bottom"/>
          </w:tcPr>
          <w:p>
            <w:pPr>
              <w:ind w:left="400"/>
              <w:spacing w:after="0" w:line="159" w:lineRule="exact"/>
              <w:rPr>
                <w:sz w:val="20"/>
                <w:szCs w:val="20"/>
                <w:color w:val="auto"/>
              </w:rPr>
            </w:pPr>
            <w:r>
              <w:rPr>
                <w:rFonts w:ascii="Times New Roman" w:cs="Times New Roman" w:eastAsia="Times New Roman" w:hAnsi="Times New Roman"/>
                <w:sz w:val="14"/>
                <w:szCs w:val="14"/>
                <w:b w:val="1"/>
                <w:bCs w:val="1"/>
                <w:color w:val="auto"/>
              </w:rPr>
              <w:t>Total capitalization</w:t>
            </w:r>
          </w:p>
        </w:tc>
        <w:tc>
          <w:tcPr>
            <w:tcW w:w="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161,296</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164,038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179006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790065" cy="6350"/>
                    </a:xfrm>
                    <a:prstGeom prst="rect">
                      <a:avLst/>
                    </a:prstGeom>
                    <a:noFill/>
                  </pic:spPr>
                </pic:pic>
              </a:graphicData>
            </a:graphic>
          </wp:anchor>
        </w:drawing>
      </w:r>
    </w:p>
    <w:p>
      <w:pPr>
        <w:spacing w:after="0" w:line="151" w:lineRule="exact"/>
        <w:rPr>
          <w:sz w:val="20"/>
          <w:szCs w:val="20"/>
          <w:color w:val="auto"/>
        </w:rPr>
      </w:pPr>
    </w:p>
    <w:p>
      <w:pPr>
        <w:ind w:left="240" w:hanging="238"/>
        <w:spacing w:after="0"/>
        <w:tabs>
          <w:tab w:leader="none" w:pos="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on an adjusted basis exclude the net proceeds from this offering.</w:t>
      </w:r>
    </w:p>
    <w:p>
      <w:pPr>
        <w:spacing w:after="0" w:line="14"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2025, long-term debt includes $12,148 million of outstanding commercial paper borrowings and credit facility draws and excludes the Notes offered hereby.</w:t>
      </w:r>
    </w:p>
    <w:p>
      <w:pPr>
        <w:spacing w:after="0" w:line="2" w:lineRule="exact"/>
        <w:rPr>
          <w:rFonts w:ascii="Times New Roman" w:cs="Times New Roman" w:eastAsia="Times New Roman" w:hAnsi="Times New Roman"/>
          <w:sz w:val="14"/>
          <w:szCs w:val="14"/>
          <w:color w:val="auto"/>
        </w:rPr>
      </w:pPr>
    </w:p>
    <w:p>
      <w:pPr>
        <w:jc w:val="both"/>
        <w:ind w:left="240" w:hanging="238"/>
        <w:spacing w:after="0" w:line="306" w:lineRule="auto"/>
        <w:tabs>
          <w:tab w:leader="none" w:pos="2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reflect (i) the repayment on January 15, 2026 of US$50 million aggregate principal amount of 6.99% senior unsecured notes of Public Service Company of North Carolina, Incorporated, and (ii) the issuance on February 26, 2026 of $850 million aggregate principal amount of 3.57% medium-term notes of the Corporation due February 26, 2031, $850 million aggregate principal amount of 4.35% medium-term notes of the Corporation due February 26, 2036, and $300 million aggregate principal amount of 5.10% medium-term notes of the Corporation due February 26, 2056.</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6597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estimate that the net proceeds from this offering of the Notes, after deducting underwriting discounts and commissions and the estimated expenses of this offering, will be approximately US$1,981,920,000. We intend to use the net proceeds from this offering to reduce our existing indebtedness, to finance future growth opportunities, including acquisitions, if any, and capital expenditures or for other general corporate purposes. The Corporation may invest funds that it does not immediately require in deposit accounts, money market funds, short-term marketable debt securities, and U.S. government sponsored enterprise obligations and corporate obligations.</w:t>
      </w:r>
    </w:p>
    <w:p>
      <w:pPr>
        <w:spacing w:after="0" w:line="14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may have outstanding existing indebtedness owing to certain of the underwriters and affiliates of the underwriters, a portion of which we may repay with the net proceeds from this offering. As a result, one or more of the underwriters or their affiliates may receive a portion of the net proceeds from this offering. See “Underwriting” in this prospectus supplement.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NOTES AND THE GUARANTEES</w:t>
      </w:r>
    </w:p>
    <w:p>
      <w:pPr>
        <w:spacing w:after="0" w:line="17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The following description of the terms of the Notes and the guarantees supplements, and to the extent inconsistent therewith supersedes, the description of the general terms and provisions of debt securities and guarantees under the heading “Description of Debt Securities and Guarantees” in the accompanying prospectus, and should be read in conjunction with that description. In this section, the terms “Corporation”, “Enbridge”, “we”, “us” or “our” refer only to Enbridge Inc. and not to its subsidiaries and the term “Guarantors” refers to SEP and EEP.</w:t>
      </w:r>
    </w:p>
    <w:p>
      <w:pPr>
        <w:spacing w:after="0" w:line="142"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The Notes of each series will be issued under an indenture (as amended and supplemented from time to time, the “Indenture”), dated as of February 25, 2005, among the Corporation, the Guarantors and Deutsche Bank Trust Company Americas, as Trustee. The Notes will not be offered or sold to persons in Canada pursuant to this prospectus supplement. The Trustee will initially serve as paying agent for the Notes. The following summary of certain provisions of the Indenture and the Notes does not purport to be complete and is qualified in its entirety by reference to the actual provisions of the Indenture.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Trustee under the Indenture is referred to in this section as the “Trustee”, which term shall include, unless the context otherwise requires, its successors and assigns. Capitalized terms used but not defined in this section shall have the meanings given to them in the Indenture.</w:t>
      </w:r>
    </w:p>
    <w:p>
      <w:pPr>
        <w:spacing w:after="0" w:line="13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The Notes will be direct, unsecured and unsubordinated obligations of the Corporation, issued under the Indenture and will rank equally with all other existing and future unsecured and unsubordinated indebtedness of the Corporation other than preferred claims imposed by statute. The Notes will be guaranteed by both Guarantors. See “— Guarantees” in this prospectus supplement. In addition, our business operations are conducted substantially through our subsidiaries and through partnerships and joint ventures. The Notes will be structurally subordinated to all existing and future liabilities of our subsidiaries other than the Guarantors. As of December 31, 2025, the long-term debt (excluding current portion, as well as guarantees and intercompany obligations between the Corporation and its subsidiaries) of the Corporation’s subsidiaries other than the Guarantors totaled approximately $33,226 million. At December 31, 2025, as determined under U.S. GAAP, the Corporation’s total consolidated long-term debt and long-term debt due within one year was, in aggregate principal amount, approximately $103,994 million (excluding the Notes and the Corporation’s proportionate share of non-recourse debt of joint ventures), none of which was secured debt. There are no terms of the Indenture that limit the ability of the Corporation or its subsidiaries, partnerships or joint ventures to issue preferred stock or incur additional indebtedness, including in the case of the Corporation and its subsidiaries, partnerships and joint ventures, indebtedness that ranks, either effectively or by contract, senior to the Notes. See “— Covenants” in this prospectus supplement. Nonetheless, we do not expect either Guarantor to issue any preferred stock or any additional debt after the date of this prospectus supplement.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Notes may be redeemed by the Corporation prior to maturity as described below under “Redemption — Optional Redemption”.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4"/>
          <w:szCs w:val="14"/>
          <w:color w:val="auto"/>
        </w:rPr>
        <w:t>The Notes will be subject to the provisions of the Indenture relating to Defeasance and Covenant Defeasance as described under the heading “— Defeasance” in this prospectus supplement.</w:t>
      </w:r>
    </w:p>
    <w:p>
      <w:pPr>
        <w:spacing w:after="0" w:line="16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The provisions of the Indenture relating to the payment of additional amounts in respect of Canadian withholding taxes in certain circumstances and relating to the redemption of the Notes in the event of specified changes in Canadian withholding tax law on or after the date of this prospectus supplement will apply to the Notes. See “— Payment of Additional Amounts” and “— Redemption — Tax Redemption” in this prospectus supplement.</w:t>
      </w:r>
    </w:p>
    <w:p>
      <w:pPr>
        <w:spacing w:after="0" w:line="142"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Notes will not be entitled to the benefit of any sinking fund, will not be convertible into other securities of the Corporation in lieu of payment of principal and will not be listed on any automated quotation system, and we do not intend to apply for listing of the Notes on any securities exchange.</w:t>
      </w:r>
    </w:p>
    <w:p>
      <w:pPr>
        <w:spacing w:after="0" w:line="13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The Notes will be denominated in U.S. dollars, and payments of principal of, and premium, if any, and interest on, the Notes will be made in U.S. dollars in the manner and on terms set out in the Indenture. Payments of principal of, and premium, if any, and interest on, the Notes will be made by the Corporation through the Trustee to the Depositary. See “— Book-Entry System” in this prospectus supplement.</w:t>
      </w:r>
    </w:p>
    <w:p>
      <w:pPr>
        <w:spacing w:after="0" w:line="142"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“Business Day” means each Monday, Tuesday, Wednesday, Thursday and Friday which is not a day on which banking institutions in the City of New York and in the applicable Place of Payment (as defined in the Indenture), if other than the City of New York, are authorized or obligated by law or executive order to close. The initial Place of Payment for the Notes will be the Trustee’s corporate trust office in The City of New York.</w:t>
      </w:r>
    </w:p>
    <w:p>
      <w:pPr>
        <w:spacing w:after="0" w:line="142"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The Corporation may, at any time, and from time to time in accordance with the terms of the Indenture, issue additional Notes of any series in unlimited amounts having the same terms as the 2031 Notes or the 2036 Notes, as the case may be, and such additional Notes will, together with the then outstanding 2031 Notes or 2036 Notes, as the case may be, and any notes which may be issued in exchange or substitution therefor, constitute a single series of notes under the Indenture.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and Interest</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2031 Notes will be issued as a series of debt securities under the Indenture in an aggregate principal amount of US$1,000 million. The 2031 Notes will mature on March 27, 2031 and will bear interest at a rate of 4.850% per annum, payable semi-annually in arrears on March 27 and September 27 of each year, commencing September 27, 2026 (each, a “2031 Interest Payment Date”), to the persons in whose names the 2031 Notes are registered at the close of business on the preceding March 12 or September 12, respectively. Interest on the 2031 Notes will include accrued interest from and including the date of issue or from and including the last date in respect of which interest has been paid, as the case may be, to, but excluding, the applicable 2031 Interest Payment Date, or the date of maturity, as the case may be. Interest on the 2031 Notes will be computed on the basis of a 360-day year of twelve 30-day months.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1" w:name="page22"/>
    <w:bookmarkEnd w:id="21"/>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The 2036 Notes will be issued as a series of debt securities under the Indenture in an aggregate principal amount of US$1,000 million. The 2036 Notes will mature on March 27, 2036 and will bear interest at a rate of 5.450% per annum, payable semi-annually in arrears on March 27 and September 27 of each year, commencing September 27, 2026 (each, a “2036 Interest Payment Date” and together with the 2031 Interest Payment Date, the “Interest Payment Dates”), to the persons in whose names the 2036 Notes are registered at the close of business on the preceding March 12 or September 12, respectively. Interest on the 2036 Notes will include accrued interest from and including the date of issue or from and including the last date in respect of which interest has been paid, as the case may be, to, but excluding, the applicable 2036 Interest Payment Date, or the date of maturity, as the case may be. Interest on the 2036 Notes will be computed on the basis of a 360-day year of twelve 30-day months.</w:t>
      </w:r>
    </w:p>
    <w:p>
      <w:pPr>
        <w:spacing w:after="0" w:line="118" w:lineRule="exact"/>
        <w:rPr>
          <w:sz w:val="20"/>
          <w:szCs w:val="20"/>
          <w:color w:val="auto"/>
        </w:rPr>
      </w:pPr>
    </w:p>
    <w:p>
      <w:pPr>
        <w:jc w:val="both"/>
        <w:ind w:firstLine="490"/>
        <w:spacing w:after="0" w:line="349" w:lineRule="auto"/>
        <w:rPr>
          <w:sz w:val="20"/>
          <w:szCs w:val="20"/>
          <w:color w:val="auto"/>
        </w:rPr>
      </w:pPr>
      <w:r>
        <w:rPr>
          <w:rFonts w:ascii="Times New Roman" w:cs="Times New Roman" w:eastAsia="Times New Roman" w:hAnsi="Times New Roman"/>
          <w:sz w:val="12"/>
          <w:szCs w:val="12"/>
          <w:color w:val="auto"/>
        </w:rPr>
        <w:t>If any Interest Payment Date or the applicable maturity date of the Notes falls on a day that is not a Business Day, the related payment of principal of, premium, if any, or interest thereon will be postponed to the next succeeding Business Day, and no interest on that payment will accrue for the period from and after that Interest Payment Date or the applicable maturity date, as the case may be.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Each of the Guarantors fully, unconditionally, irrevocably, absolutely and jointly and severally guarantees to each Noteholder of each series the due and punctual payment of the principal of, and premium, if any, and interest on the Notes and all other amounts due and payable by the Corporation under the Indenture and the Notes, when and as such principal, premium, if any, interest and other amounts shall become due and payable, whether at the stated maturity or by declaration or acceleration, call for redemption or otherwise, subject to limitations on amount so that such guarantee does not constitute a fraudulent conveyance or fraudulent transfer under federal or state law, as set forth in the Indenture. The guarantees of the Notes will be general, unsecured, senior obligations of each of the Guarantors and will rank equally with all other existing and future unsecured and unsubordinated indebtedness of that Guarantor, other than preferred claims imposed by statute.</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Indenture, the guarantees of either Guarantor will be unconditionally released and discharged automatically upon the occurrence of any of the following events:</w:t>
      </w:r>
    </w:p>
    <w:p>
      <w:pPr>
        <w:spacing w:after="0" w:line="166" w:lineRule="exact"/>
        <w:rPr>
          <w:sz w:val="20"/>
          <w:szCs w:val="20"/>
          <w:color w:val="auto"/>
        </w:rPr>
      </w:pPr>
    </w:p>
    <w:p>
      <w:pPr>
        <w:jc w:val="both"/>
        <w:ind w:left="980" w:hanging="243"/>
        <w:spacing w:after="0" w:line="254"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 or indirect sale, exchange or transfer, whether by way of merger, sale or transfer of equity interests or otherwise, to any person that is not an affiliate of the Corporation, of any of the Corporation’s direct or indirect limited partnership or other equity interests in that Guarantor as a result of which that Guarantor ceases to be a consolidated subsidiary of the Corporation;</w:t>
      </w:r>
    </w:p>
    <w:p>
      <w:pPr>
        <w:spacing w:after="0" w:line="142"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of that Guarantor into the Corporation or the other Guarantor or the liquidation and dissolution of that Guarantor;</w:t>
      </w:r>
    </w:p>
    <w:p>
      <w:pPr>
        <w:spacing w:after="0" w:line="165"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series of the Notes, the repayment in full or discharge or defeasance of Notes of that series as contemplated by the Indenture;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2" w:name="page23"/>
    <w:bookmarkEnd w:id="22"/>
    <w:p>
      <w:pPr>
        <w:ind w:left="980" w:hanging="243"/>
        <w:spacing w:after="0" w:line="264" w:lineRule="auto"/>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EEP, the repayment in full or discharge or defeasance of each series of debt securities of EEP outstanding as of January 22, 2019, all of which are guaranteed by the Corporation pursuant to the Seventeenth Supplemental Indenture, dated as of January 22, 2019, among EEP, the Corporation and U.S. Bank National Association, as trustee; or</w:t>
      </w:r>
    </w:p>
    <w:p>
      <w:pPr>
        <w:spacing w:after="0" w:line="136" w:lineRule="exact"/>
        <w:rPr>
          <w:rFonts w:ascii="Times New Roman" w:cs="Times New Roman" w:eastAsia="Times New Roman" w:hAnsi="Times New Roman"/>
          <w:sz w:val="14"/>
          <w:szCs w:val="14"/>
          <w:color w:val="auto"/>
        </w:rPr>
      </w:pPr>
    </w:p>
    <w:p>
      <w:pPr>
        <w:ind w:left="980" w:hanging="243"/>
        <w:spacing w:after="0" w:line="264" w:lineRule="auto"/>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SEP, the repayment in full or discharge or defeasance of each series of debt securities of SEP outstanding as of January 22, 2019, all of which are guaranteed by the Corporation pursuant to the Eighth Supplemental Indenture, dated as of January 22, 2019, among SEP, the Corporation and Wells Fargo Bank, National Association, as trustee.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7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Deutsche Bank Trust Company Americas is the Trustee under the Indenture governing the Notes. An affiliate of the Trustee is a lender under certain of the credit facilities of Enbridge and its subsidiary, Enbridge (U.S.) Inc., described under “Underwriting” in this prospectus supplement, and affiliates of the Trustee may have further commercial banking, advisory and other relationships with Enbridge and its subsidiaries.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Prior to the applicable Par Call Date, the Corporation may redeem any series of the Notes, at its option, in whole or in part, at any time and from time to time, at a redemption price (expressed as a percentage of principal amount and rounded to three decimal places) equal to the greater of:</w:t>
      </w:r>
    </w:p>
    <w:p>
      <w:pPr>
        <w:spacing w:after="0" w:line="136" w:lineRule="exact"/>
        <w:rPr>
          <w:sz w:val="20"/>
          <w:szCs w:val="20"/>
          <w:color w:val="auto"/>
        </w:rPr>
      </w:pPr>
    </w:p>
    <w:p>
      <w:pPr>
        <w:jc w:val="both"/>
        <w:ind w:left="980" w:hanging="243"/>
        <w:spacing w:after="0" w:line="254"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Notes of the applicable series matured on the applicable Par Call Date) on a semi-annual basis (assuming a 360-day year consisting of twelve 30-day months) at the Treasury Rate plus 15 basis points in the case of the 2031 Notes and 20 basis points in the case of the 2036 Notes, in each case, less (b) interest accrued to the date of redemption, and</w:t>
      </w:r>
    </w:p>
    <w:p>
      <w:pPr>
        <w:spacing w:after="0" w:line="142"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applicable series of the Notes to be redeemed,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not including, the redemption date.</w:t>
      </w:r>
    </w:p>
    <w:p>
      <w:pPr>
        <w:spacing w:after="0" w:line="166"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On or after the applicable Par Call Date, we may redeem any series of the Notes, in whole or in part, at any time and from time to time, at a redemption price equal to 100% of the principal amount of the applicable series of the Notes being redeemed plus accrued and unpaid interest thereon to the redemption date.</w:t>
      </w:r>
    </w:p>
    <w:p>
      <w:pPr>
        <w:spacing w:after="0" w:line="136"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“Par Call Date” means (i) February 27, 2031 (one month prior to the maturity date of the 2031 Notes), in the case of the 2031 Notes and (ii) December 27, 2035 (three months prior to the maturity date of the 2036 Notes), in the case of the 2036 Notes.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16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The Treasury Rate shall be determined by the Corporation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Corporation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4" w:lineRule="exact"/>
        <w:rPr>
          <w:sz w:val="20"/>
          <w:szCs w:val="20"/>
          <w:color w:val="auto"/>
        </w:rPr>
      </w:pPr>
    </w:p>
    <w:p>
      <w:pPr>
        <w:jc w:val="both"/>
        <w:ind w:firstLine="490"/>
        <w:spacing w:after="0" w:line="293" w:lineRule="auto"/>
        <w:rPr>
          <w:sz w:val="20"/>
          <w:szCs w:val="20"/>
          <w:color w:val="auto"/>
        </w:rPr>
      </w:pPr>
      <w:r>
        <w:rPr>
          <w:rFonts w:ascii="Times New Roman" w:cs="Times New Roman" w:eastAsia="Times New Roman" w:hAnsi="Times New Roman"/>
          <w:sz w:val="12"/>
          <w:szCs w:val="12"/>
          <w:color w:val="auto"/>
        </w:rPr>
        <w:t>If on the third Business Day preceding the redemption date H.15 TCM is no longer published, the Corporation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Corporation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Corporation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Corporation’s actions and determinations in determining the redemption price shall be conclusive and binding for all purposes, absent manifest error.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4" w:name="page25"/>
    <w:bookmarkEnd w:id="24"/>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in its sole discretion deems appropriate and fair. No Notes of a principal amount of US$1,000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14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Notice of redemption of any series of the Notes given to holders of such series of the Notes may be conditional and, in such case, such notice of redemption shall specify the details and terms of any event (</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color w:val="auto"/>
        </w:rPr>
        <w:t>., a financing, asset disposition or other transaction) on which such redemption is conditional.</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the Corporation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Redemption</w:t>
      </w:r>
    </w:p>
    <w:p>
      <w:pPr>
        <w:spacing w:after="0" w:line="170" w:lineRule="exact"/>
        <w:rPr>
          <w:sz w:val="20"/>
          <w:szCs w:val="20"/>
          <w:color w:val="auto"/>
        </w:rPr>
      </w:pPr>
    </w:p>
    <w:p>
      <w:pPr>
        <w:jc w:val="both"/>
        <w:ind w:firstLine="490"/>
        <w:spacing w:after="0" w:line="289" w:lineRule="auto"/>
        <w:rPr>
          <w:sz w:val="20"/>
          <w:szCs w:val="20"/>
          <w:color w:val="auto"/>
        </w:rPr>
      </w:pPr>
      <w:r>
        <w:rPr>
          <w:rFonts w:ascii="Times New Roman" w:cs="Times New Roman" w:eastAsia="Times New Roman" w:hAnsi="Times New Roman"/>
          <w:sz w:val="12"/>
          <w:szCs w:val="12"/>
          <w:color w:val="auto"/>
        </w:rPr>
        <w:t>Each series of the Notes will be subject to redemption at any time at a redemption price equal to the principal amount of the Notes of that series, together with accrued and unpaid interest to the date fixed for redemption, upon the giving of the notice as described below, if the Corporation (or its successor) determines that (1) as a result of (A) any amendment to or change (including any announced prospective change) in the laws or related regulations of Canada (or the Corporation’s successors’ jurisdiction of organization) or of any applicable political subdivision or taxing authority (including, for certainty, the January 29 Tax Proposals (as defined under “Material Income Tax Considerations – Material Canadian Income Tax Considerations”) (or any successor provisions thereto) coming into effect) or</w:t>
      </w:r>
    </w:p>
    <w:p>
      <w:pPr>
        <w:spacing w:after="0" w:line="1" w:lineRule="exact"/>
        <w:rPr>
          <w:sz w:val="20"/>
          <w:szCs w:val="20"/>
          <w:color w:val="auto"/>
        </w:rPr>
      </w:pPr>
    </w:p>
    <w:p>
      <w:pPr>
        <w:jc w:val="both"/>
        <w:ind w:firstLine="2"/>
        <w:spacing w:after="0" w:line="284" w:lineRule="auto"/>
        <w:tabs>
          <w:tab w:leader="none" w:pos="2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to or change in an interpretation or application of such laws or regulations by any legislative body, court, governmental agency or regulatory authority announced or becoming effective on or after the date of this prospectus supplement, the Corporation has or will become obligated to pay, on the next Interest Payment Date for the Notes of that series, additional amounts with respect to any Note of that series as described under “— Payment of Additional Amounts”, or (2) on or after the date of this prospectus supplement, any action has been taken by any taxing authority of, or any decision has been rendered by a court in, Canada (or the Corporation’s successors’ jurisdiction of organization) or any applicable political subdivision or taxing authority, including any of those actions specified in</w:t>
      </w:r>
    </w:p>
    <w:p>
      <w:pPr>
        <w:jc w:val="both"/>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 above, whether or not the action was taken or decision rendered with respect to the Corporation, or any change, amendment, application or interpretation is officially proposed, which, in the opinion of the Corporation’s counsel, will result in the Corporation becoming obligated to pay, on the next Interest Payment Date for the Notes of that series, additional amounts with respect to any Note of such series of Notes, and the Corporation has determined that the obligation cannot be avoided by the use of reasonable available measures. Notice of redemption of Notes of any series will be given once not more than 60 nor less than 10 days prior to the date fixed for redemption and will specify the date fixed for redemption.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Provision of Financial Information</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Corporation will file with the Trustee, within 15 days after the same are so required to be filed with the SEC, copies of its annual report and of the information, documents and other reports (or copies of such portions of any of the foregoing as the SEC may by rules and regulations prescribe) which the Corporation is required to file with the SEC pursuant to Section 13 or 15(d) of the U.S. Exchange Act. If the Corporation is not required to file such information, documents or reports with the SEC, then the Corporation will file with the Trustee such periodic reports as the Corporation files with the securities commission or corresponding securities regulatory authority in each of the Provinces of Canada within 15 days after the same are so required to be filed with such securities commissions or securities regulatory authorities.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Indenture contains promises by the Corporation, called “covenants” for the benefit of the Noteholders. The Corporation will make the covenants described under the headings “— Limitation on Security Interests” and “— Other Indenture Covenants” for the Noteholders.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 on Security Interests</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Corporation agrees in the Indenture, for the benefit of the Noteholders, that it will not create, assume or otherwise have outstanding any Security Interest on its assets securing any Indebtedness unless the obligations of the Corporation in respect of the Notes then outstanding shall be secured equally and ratably therewith.</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This covenant has significant exceptions which allow the Corporation to incur or allow to exist over its properties and assets Permitted Encumbrances (as defined in the Indenture), which include, among other things:</w:t>
      </w:r>
    </w:p>
    <w:p>
      <w:pPr>
        <w:spacing w:after="0" w:line="136" w:lineRule="exact"/>
        <w:rPr>
          <w:sz w:val="20"/>
          <w:szCs w:val="20"/>
          <w:color w:val="auto"/>
        </w:rPr>
      </w:pPr>
    </w:p>
    <w:p>
      <w:pPr>
        <w:ind w:left="1220" w:hanging="483"/>
        <w:spacing w:after="0" w:line="264" w:lineRule="auto"/>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existing on the date of the first issuance of the Notes by the Corporation under the Indenture or arising after that date under contractual commitments entered into prior to that date;</w:t>
      </w:r>
    </w:p>
    <w:p>
      <w:pPr>
        <w:spacing w:after="0" w:line="136"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securing Purchase Money Obligations;</w:t>
      </w:r>
    </w:p>
    <w:p>
      <w:pPr>
        <w:spacing w:after="0" w:line="165"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securing Non-Recourse Debt;</w:t>
      </w:r>
    </w:p>
    <w:p>
      <w:pPr>
        <w:spacing w:after="0" w:line="165"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in favor of the Corporation’s subsidiaries;</w:t>
      </w:r>
    </w:p>
    <w:p>
      <w:pPr>
        <w:spacing w:after="0" w:line="165" w:lineRule="exact"/>
        <w:rPr>
          <w:rFonts w:ascii="Times New Roman" w:cs="Times New Roman" w:eastAsia="Times New Roman" w:hAnsi="Times New Roman"/>
          <w:sz w:val="14"/>
          <w:szCs w:val="14"/>
          <w:color w:val="auto"/>
        </w:rPr>
      </w:pPr>
    </w:p>
    <w:p>
      <w:pPr>
        <w:ind w:left="1220" w:hanging="483"/>
        <w:spacing w:after="0" w:line="264" w:lineRule="auto"/>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existing on property of a corporation which is merged into, or amalgamated or consolidated with, the Corporation or the property of which is acquired by the Corporation;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26" w:name="page27"/>
    <w:bookmarkEnd w:id="26"/>
    <w:p>
      <w:pPr>
        <w:ind w:left="483" w:hanging="483"/>
        <w:spacing w:after="0" w:line="264" w:lineRule="auto"/>
        <w:tabs>
          <w:tab w:leader="none" w:pos="48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securing Indebtedness to banks or other lending institutions incurred in the ordinary course of business, repayable on demand or maturing within 18 months of incurrence or renewal or extension;</w:t>
      </w:r>
    </w:p>
    <w:p>
      <w:pPr>
        <w:spacing w:after="0" w:line="136" w:lineRule="exact"/>
        <w:rPr>
          <w:rFonts w:ascii="Times New Roman" w:cs="Times New Roman" w:eastAsia="Times New Roman" w:hAnsi="Times New Roman"/>
          <w:sz w:val="14"/>
          <w:szCs w:val="14"/>
          <w:color w:val="auto"/>
        </w:rPr>
      </w:pPr>
    </w:p>
    <w:p>
      <w:pPr>
        <w:ind w:left="483" w:hanging="483"/>
        <w:spacing w:after="0"/>
        <w:tabs>
          <w:tab w:leader="none" w:pos="48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on or against cash or marketable debt securities pledged to secure Financial Instrument Obligations;</w:t>
      </w:r>
    </w:p>
    <w:p>
      <w:pPr>
        <w:spacing w:after="0" w:line="165" w:lineRule="exact"/>
        <w:rPr>
          <w:rFonts w:ascii="Times New Roman" w:cs="Times New Roman" w:eastAsia="Times New Roman" w:hAnsi="Times New Roman"/>
          <w:sz w:val="14"/>
          <w:szCs w:val="14"/>
          <w:color w:val="auto"/>
        </w:rPr>
      </w:pPr>
    </w:p>
    <w:p>
      <w:pPr>
        <w:ind w:left="483" w:hanging="483"/>
        <w:spacing w:after="0"/>
        <w:tabs>
          <w:tab w:leader="none" w:pos="48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in respect of certain:</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and workmen’s compensation assessments, unemployment insurance or other social security obligations,</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and certain rights under leases,</w:t>
      </w:r>
    </w:p>
    <w:p>
      <w:pPr>
        <w:spacing w:after="0" w:line="165" w:lineRule="exact"/>
        <w:rPr>
          <w:rFonts w:ascii="Times New Roman" w:cs="Times New Roman" w:eastAsia="Times New Roman" w:hAnsi="Times New Roman"/>
          <w:sz w:val="14"/>
          <w:szCs w:val="14"/>
          <w:color w:val="auto"/>
        </w:rPr>
      </w:pPr>
    </w:p>
    <w:p>
      <w:pPr>
        <w:ind w:left="743" w:hanging="253"/>
        <w:spacing w:after="0" w:line="264" w:lineRule="auto"/>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affecting the property of the Corporation to governmental or public authorities, with respect to franchises, grants, licenses or permits and title defects arising because structures or facilities are on lands held by the Corporation under government grant, subject to a materiality threshold,</w:t>
      </w:r>
    </w:p>
    <w:p>
      <w:pPr>
        <w:spacing w:after="0" w:line="136" w:lineRule="exact"/>
        <w:rPr>
          <w:rFonts w:ascii="Times New Roman" w:cs="Times New Roman" w:eastAsia="Times New Roman" w:hAnsi="Times New Roman"/>
          <w:sz w:val="14"/>
          <w:szCs w:val="14"/>
          <w:color w:val="auto"/>
        </w:rPr>
      </w:pPr>
    </w:p>
    <w:p>
      <w:pPr>
        <w:ind w:left="743" w:hanging="253"/>
        <w:spacing w:after="0" w:line="264" w:lineRule="auto"/>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contracts, bids, tenders or expropriation proceedings, surety or appeal bonds, costs of litigation, public and statutory obligations, liens or claims incidental to current construction, builders’, mechanics’, laborers’, materialmen’s, warehousemen’s, carriers’ and other similar liens,</w:t>
      </w:r>
    </w:p>
    <w:p>
      <w:pPr>
        <w:spacing w:after="0" w:line="136"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governmental or public authorities under statute or the terms of leases, licenses, franchises, grants or permits,</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undetermined or inchoate liens incidental to the operations of the Corporation,</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contested in good faith by the Corporation or for which payment is deposited with the Trustee,</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rights-of-way and servitudes,</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to public utilities, municipalities or governmental or other public authorities,</w:t>
      </w:r>
    </w:p>
    <w:p>
      <w:pPr>
        <w:spacing w:after="0" w:line="165" w:lineRule="exact"/>
        <w:rPr>
          <w:rFonts w:ascii="Times New Roman" w:cs="Times New Roman" w:eastAsia="Times New Roman" w:hAnsi="Times New Roman"/>
          <w:sz w:val="14"/>
          <w:szCs w:val="14"/>
          <w:color w:val="auto"/>
        </w:rPr>
      </w:pPr>
    </w:p>
    <w:p>
      <w:pPr>
        <w:ind w:left="743" w:hanging="253"/>
        <w:spacing w:after="0"/>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and privileges arising out of judgments or awards, and</w:t>
      </w:r>
    </w:p>
    <w:p>
      <w:pPr>
        <w:spacing w:after="0" w:line="165" w:lineRule="exact"/>
        <w:rPr>
          <w:rFonts w:ascii="Times New Roman" w:cs="Times New Roman" w:eastAsia="Times New Roman" w:hAnsi="Times New Roman"/>
          <w:sz w:val="14"/>
          <w:szCs w:val="14"/>
          <w:color w:val="auto"/>
        </w:rPr>
      </w:pPr>
    </w:p>
    <w:p>
      <w:pPr>
        <w:ind w:left="743" w:hanging="253"/>
        <w:spacing w:after="0" w:line="264" w:lineRule="auto"/>
        <w:tabs>
          <w:tab w:leader="none" w:pos="7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of a nature similar to those described above which do not in the opinion of the Corporation materially impair the use of the subject property or the operation of the business of the Corporation or the value of the property for the Corporation’s business; and</w:t>
      </w:r>
    </w:p>
    <w:p>
      <w:pPr>
        <w:spacing w:after="0" w:line="29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9525</wp:posOffset>
            </wp:positionV>
            <wp:extent cx="716597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543"/>
          </w:cols>
          <w:pgMar w:left="1037" w:top="719" w:right="319" w:bottom="1440" w:gutter="0" w:footer="0" w:header="0"/>
        </w:sectPr>
      </w:pPr>
    </w:p>
    <w:bookmarkStart w:id="27" w:name="page28"/>
    <w:bookmarkEnd w:id="27"/>
    <w:p>
      <w:pPr>
        <w:jc w:val="both"/>
        <w:ind w:left="1220" w:hanging="483"/>
        <w:spacing w:after="0" w:line="254" w:lineRule="auto"/>
        <w:tabs>
          <w:tab w:leader="none" w:pos="1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extensions, renewals, alterations and replacements of the permitted Security Interests referred to above; provided the extension, renewal, alteration or replacement of such Security Interest is limited to all or any part of the same property that secured the Security Interest extended, renewed, altered or replaced (plus improvements on such property) and the principal amount of the Indebtedness secured thereby is not increased.</w:t>
      </w:r>
    </w:p>
    <w:p>
      <w:pPr>
        <w:spacing w:after="0" w:line="142"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In addition, the Indenture permits the Corporation to incur or allow to exist any other Security Interest or Security Interests if the amount of Indebtedness secured under the Security Interest or Security Interests does not exceed 5% of the Corporation’s Consolidated Net Tangible Assets.</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Indenture covenant restricting Security Interests will not restrict the Corporation’s ability to sell its property and other assets and will not restrict any subsidiary of the Corporation from creating, assuming or otherwise having outstanding any Security Interests on its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Indenture Covenants</w:t>
      </w:r>
    </w:p>
    <w:p>
      <w:pPr>
        <w:spacing w:after="0" w:line="1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Corporation will covenant with respect to the Notes to (1) duly and punctually pay amounts due on the Notes; (2) maintain an office or agency where the Notes may be presented or surrendered for payment, where the Notes may be surrendered for registration of transfer or exchange and where notices and demands to the Corporation may be served; (3) deliver to the Trustee, within 120 days after the end of each fiscal year, a certificate stating whether or not the Corporation is in default under the Indenture; (4) pay before delinquency, taxes, assessments and governmental charges and lawful claims for labor, materials and supplies which, if unpaid, might by law become a lien upon the property of the Corporation, subject to the right of the Corporation to contest the validity of a charge, assessment or claim in good faith; and (5) maintain and keep in good condition properties used or useful in the conduct of its business and make necessary repairs and improvements as in the judgment of the Corporation are necessary to carry on the Corporation’s business; provided that the Corporation may discontinue operating or maintaining any of its properties if, in the judgment of the Corporation, the discontinuance is desirable in the conduct of the Corporation’s business and not disadvantageous in any material respect to the Noteholders.</w:t>
      </w:r>
    </w:p>
    <w:p>
      <w:pPr>
        <w:spacing w:after="0" w:line="147"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Subject to the provision described under the heading “— Mergers, Consolidations and Sales of Assets” below, the Corporation will also covenant that it will do all things necessary to preserve and keep in full force and effect its existence, rights and franchises; provided that the Corporation is not required to preserve any right or franchise if the board of directors of the Corporation determines that preservation of the right or franchise is no longer desirable in the conduct of the business of the Corporation and that its loss is not disadvantageous in any material respect to the Noteholders.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of Covenants</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Corporation may omit in any particular instance to comply with any term, provision or condition in any covenant in respect of a series of the Notes, if before the time for such compliance the holders of a majority of the principal amount of the outstanding notes of that series of the Notes waive compliance with the applicable term, provision or condition.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Mergers, Consolidations and Sales of Assets</w:t>
      </w:r>
    </w:p>
    <w:p>
      <w:pPr>
        <w:spacing w:after="0" w:line="168"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The Corporation may not consolidate or amalgamate with or merge into, or enter into any statutory arrangement for such purpose with, any other person or convey, transfer or lease its properties and assets substantially as an entirety to any person, unless, among other requirements:</w:t>
      </w:r>
    </w:p>
    <w:p>
      <w:pPr>
        <w:spacing w:after="0" w:line="136" w:lineRule="exact"/>
        <w:rPr>
          <w:sz w:val="20"/>
          <w:szCs w:val="20"/>
          <w:color w:val="auto"/>
        </w:rPr>
      </w:pPr>
    </w:p>
    <w:p>
      <w:pPr>
        <w:jc w:val="both"/>
        <w:ind w:left="1220" w:hanging="483"/>
        <w:spacing w:after="0" w:line="254"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to the consolidation, amalgamation, merger or arrangement is a corporation, partnership or trust organized under the laws of Canada, or any Province or Territory thereof, the United States of America, or any State thereof or the District of Columbia, and expressly assumes the obligation to pay the principal of and any premium and interest on all of the Notes and perform or observe the covenants and obligations contained in the Indenture;</w:t>
      </w:r>
    </w:p>
    <w:p>
      <w:pPr>
        <w:spacing w:after="0" w:line="142" w:lineRule="exact"/>
        <w:rPr>
          <w:rFonts w:ascii="Times New Roman" w:cs="Times New Roman" w:eastAsia="Times New Roman" w:hAnsi="Times New Roman"/>
          <w:sz w:val="14"/>
          <w:szCs w:val="14"/>
          <w:color w:val="auto"/>
        </w:rPr>
      </w:pPr>
    </w:p>
    <w:p>
      <w:pPr>
        <w:ind w:left="1220" w:hanging="483"/>
        <w:spacing w:after="0" w:line="264"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or event which, after notice or lapse of time or both, would become an event of default, will have happened and be continuing; and</w:t>
      </w:r>
    </w:p>
    <w:p>
      <w:pPr>
        <w:spacing w:after="0" w:line="136" w:lineRule="exact"/>
        <w:rPr>
          <w:rFonts w:ascii="Times New Roman" w:cs="Times New Roman" w:eastAsia="Times New Roman" w:hAnsi="Times New Roman"/>
          <w:sz w:val="14"/>
          <w:szCs w:val="14"/>
          <w:color w:val="auto"/>
        </w:rPr>
      </w:pPr>
    </w:p>
    <w:p>
      <w:pPr>
        <w:jc w:val="both"/>
        <w:ind w:left="1220" w:hanging="483"/>
        <w:spacing w:after="0" w:line="254"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a result of any such consolidation, amalgamation, merger or arrangement, properties or assets of the Corporation would become subject to a mortgage, pledge, lien, security interest or other encumbrance which would not be permitted by the Indenture, the Corporation or such successor, as the case may be, shall take such steps as shall be necessary effectively to secure the Notes equally and ratably with (or prior to) all indebtedness secured thereby.</w:t>
      </w:r>
    </w:p>
    <w:p>
      <w:pPr>
        <w:spacing w:after="0" w:line="142"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Upon any consolidation, amalgamation, merger or arrangement of the Corporation or conveyance, transfer or lease of properties and assets of the Corporation substantially as an entirety, the successor to the Corporation will succeed to every right and power of the Corporation under the Indenture, and, except in the case of a lease, the Corporation will be relieved of all obligations and covenants under the Indenture and the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of Additional Amounts</w:t>
      </w:r>
    </w:p>
    <w:p>
      <w:pPr>
        <w:spacing w:after="0" w:line="16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The Corporation will, subject to the exceptions and limitations set forth below, pay to any Noteholder of any series of Notes who is a non-resident of Canada under the </w:t>
      </w:r>
      <w:r>
        <w:rPr>
          <w:rFonts w:ascii="Times New Roman" w:cs="Times New Roman" w:eastAsia="Times New Roman" w:hAnsi="Times New Roman"/>
          <w:sz w:val="14"/>
          <w:szCs w:val="14"/>
          <w:i w:val="1"/>
          <w:iCs w:val="1"/>
          <w:color w:val="auto"/>
        </w:rPr>
        <w:t>Income Tax Act</w:t>
      </w:r>
      <w:r>
        <w:rPr>
          <w:rFonts w:ascii="Times New Roman" w:cs="Times New Roman" w:eastAsia="Times New Roman" w:hAnsi="Times New Roman"/>
          <w:sz w:val="14"/>
          <w:szCs w:val="14"/>
          <w:color w:val="auto"/>
        </w:rPr>
        <w:t xml:space="preserve"> (Canada) and the regulations thereunder (collectively, the “Tax Act”) such additional amounts as may be necessary so that every net payment on the Notes held by such Noteholder, after deduction or withholding by the Corporation or any of its paying agents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those Notes to be then due and payable (and the Corporation will remit the full amount withheld to the relevant authority in accordance with applicable law). However, the Corporation will not be required to make any payment of additional amounts:</w:t>
      </w:r>
    </w:p>
    <w:p>
      <w:pPr>
        <w:spacing w:after="0" w:line="148" w:lineRule="exact"/>
        <w:rPr>
          <w:sz w:val="20"/>
          <w:szCs w:val="20"/>
          <w:color w:val="auto"/>
        </w:rPr>
      </w:pPr>
    </w:p>
    <w:p>
      <w:pPr>
        <w:jc w:val="both"/>
        <w:ind w:left="980" w:hanging="243"/>
        <w:spacing w:after="0" w:line="248"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in respect of whom such Canadian Taxes are required to be withheld or deducted as a result of such person or any other person that has a beneficial interest in respect of any payment under those Notes (i) not dealing at arm’s length with the Corporation (within the meaning of the Tax Act), (ii) being a “specified shareholder” (as defined in subsection 18(5) of the Tax Act) of the Corporation, (iii) not dealing at arm’s length (for the purposes of the Tax Act) with such a “specified shareholder”, (iv) being an entity in respect of which the Corporation is a “specified entity” as defined in subsection 18.4(1) of the Tax Act, or (v) being a “reverse hybrid entity” within the meaning of the January 29 Tax Proposals (as defined under “Material Income Tax Considerations – Material Canadian Income Tax Considerations”) (or any successor provision thereto);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29" w:name="page30"/>
    <w:bookmarkEnd w:id="29"/>
    <w:p>
      <w:pPr>
        <w:ind w:left="243" w:hanging="243"/>
        <w:spacing w:after="0" w:line="264" w:lineRule="auto"/>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by reason of such person being connected with Canada (otherwise than merely by holding or ownership of those Notes or receiving any payments or exercising any rights thereunder), including without limitation a non-resident insurer who carries on an insurance business in Canada and in a country other than Canada;</w:t>
      </w:r>
    </w:p>
    <w:p>
      <w:pPr>
        <w:spacing w:after="0" w:line="136" w:lineRule="exact"/>
        <w:rPr>
          <w:rFonts w:ascii="Times New Roman" w:cs="Times New Roman" w:eastAsia="Times New Roman" w:hAnsi="Times New Roman"/>
          <w:sz w:val="14"/>
          <w:szCs w:val="14"/>
          <w:color w:val="auto"/>
        </w:rPr>
      </w:pPr>
    </w:p>
    <w:p>
      <w:pPr>
        <w:jc w:val="both"/>
        <w:ind w:left="243" w:hanging="243"/>
        <w:spacing w:after="0" w:line="250" w:lineRule="auto"/>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 on account of any Canadian Taxes which would not have been so imposed but for: (i) the presentation by the holder of those Notes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46" w:lineRule="exact"/>
        <w:rPr>
          <w:rFonts w:ascii="Times New Roman" w:cs="Times New Roman" w:eastAsia="Times New Roman" w:hAnsi="Times New Roman"/>
          <w:sz w:val="14"/>
          <w:szCs w:val="14"/>
          <w:color w:val="auto"/>
        </w:rPr>
      </w:pPr>
    </w:p>
    <w:p>
      <w:pPr>
        <w:ind w:left="243" w:hanging="243"/>
        <w:spacing w:after="0"/>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 on account of any estate, inheritance, gift, sales, transfer, personal property tax or any similar Canadian Taxes;</w:t>
      </w:r>
    </w:p>
    <w:p>
      <w:pPr>
        <w:spacing w:after="0" w:line="165" w:lineRule="exact"/>
        <w:rPr>
          <w:rFonts w:ascii="Times New Roman" w:cs="Times New Roman" w:eastAsia="Times New Roman" w:hAnsi="Times New Roman"/>
          <w:sz w:val="14"/>
          <w:szCs w:val="14"/>
          <w:color w:val="auto"/>
        </w:rPr>
      </w:pPr>
    </w:p>
    <w:p>
      <w:pPr>
        <w:ind w:left="243" w:hanging="243"/>
        <w:spacing w:after="0" w:line="264" w:lineRule="auto"/>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 on account of any Canadian Taxes required to be withheld by any paying agent from any payment to a person on those Notes if such payment can be made to such person without such withholding by at least one other paying agent the identity of which is provided to such person;</w:t>
      </w:r>
    </w:p>
    <w:p>
      <w:pPr>
        <w:spacing w:after="0" w:line="136" w:lineRule="exact"/>
        <w:rPr>
          <w:rFonts w:ascii="Times New Roman" w:cs="Times New Roman" w:eastAsia="Times New Roman" w:hAnsi="Times New Roman"/>
          <w:sz w:val="14"/>
          <w:szCs w:val="14"/>
          <w:color w:val="auto"/>
        </w:rPr>
      </w:pPr>
    </w:p>
    <w:p>
      <w:pPr>
        <w:ind w:left="243" w:hanging="243"/>
        <w:spacing w:after="0"/>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 on account of any Canadian Taxes which is payable otherwise than by withholding from a payment on those Notes;</w:t>
      </w:r>
    </w:p>
    <w:p>
      <w:pPr>
        <w:spacing w:after="0" w:line="165" w:lineRule="exact"/>
        <w:rPr>
          <w:rFonts w:ascii="Times New Roman" w:cs="Times New Roman" w:eastAsia="Times New Roman" w:hAnsi="Times New Roman"/>
          <w:sz w:val="14"/>
          <w:szCs w:val="14"/>
          <w:color w:val="auto"/>
        </w:rPr>
      </w:pPr>
    </w:p>
    <w:p>
      <w:pPr>
        <w:jc w:val="both"/>
        <w:ind w:left="243" w:hanging="243"/>
        <w:spacing w:after="0" w:line="250" w:lineRule="auto"/>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Corporation or the Guarantors and the United States or any authority thereof implementing FATCA; or</w:t>
      </w:r>
    </w:p>
    <w:p>
      <w:pPr>
        <w:spacing w:after="0" w:line="146" w:lineRule="exact"/>
        <w:rPr>
          <w:rFonts w:ascii="Times New Roman" w:cs="Times New Roman" w:eastAsia="Times New Roman" w:hAnsi="Times New Roman"/>
          <w:sz w:val="14"/>
          <w:szCs w:val="14"/>
          <w:color w:val="auto"/>
        </w:rPr>
      </w:pPr>
    </w:p>
    <w:p>
      <w:pPr>
        <w:ind w:left="243" w:hanging="243"/>
        <w:spacing w:after="0"/>
        <w:tabs>
          <w:tab w:leader="none" w:pos="2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combination of items (a), (b), (c), (d), (e), (f) and (g);</w:t>
      </w:r>
    </w:p>
    <w:p>
      <w:pPr>
        <w:spacing w:after="0" w:line="32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9525</wp:posOffset>
            </wp:positionV>
            <wp:extent cx="716597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543"/>
          </w:cols>
          <w:pgMar w:left="1037" w:top="719" w:right="319" w:bottom="1440" w:gutter="0" w:footer="0" w:header="0"/>
        </w:sectPr>
      </w:pPr>
    </w:p>
    <w:bookmarkStart w:id="30" w:name="page31"/>
    <w:bookmarkEnd w:id="30"/>
    <w:p>
      <w:pPr>
        <w:jc w:val="both"/>
        <w:spacing w:after="0" w:line="250" w:lineRule="auto"/>
        <w:rPr>
          <w:sz w:val="20"/>
          <w:szCs w:val="20"/>
          <w:color w:val="auto"/>
        </w:rPr>
      </w:pPr>
      <w:r>
        <w:rPr>
          <w:rFonts w:ascii="Times New Roman" w:cs="Times New Roman" w:eastAsia="Times New Roman" w:hAnsi="Times New Roman"/>
          <w:sz w:val="14"/>
          <w:szCs w:val="14"/>
          <w:color w:val="auto"/>
        </w:rPr>
        <w:t>nor will additional amounts be paid with respect to any payment on those Notes to a Noteholder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Noteholder of such Notes.</w:t>
      </w:r>
    </w:p>
    <w:p>
      <w:pPr>
        <w:spacing w:after="0" w:line="14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Corporation will furnish to the Noteholders, within 30 days after the date of the payment of any Canadian Taxes is due under applicable law, certified copies of tax receipts or other documents evidencing such payment.</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Wherever in the Notes or Indenture there is mentioned, in any context, the payment of principal (and premium, if any), interest or any other amount payable under or with respect to the Notes, such mention shall be deemed to include mention of the payment of additional amounts to the extent that, in such context additional amounts are, were or would be payable in respect thereof.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events are defined in the Indenture as “Events of Default” with respect to each series of the Notes:</w:t>
      </w:r>
    </w:p>
    <w:p>
      <w:pPr>
        <w:spacing w:after="0" w:line="166" w:lineRule="exact"/>
        <w:rPr>
          <w:sz w:val="20"/>
          <w:szCs w:val="20"/>
          <w:color w:val="auto"/>
        </w:rPr>
      </w:pPr>
    </w:p>
    <w:p>
      <w:pPr>
        <w:ind w:left="980" w:hanging="243"/>
        <w:spacing w:after="0"/>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Corporation to pay when due the principal of or premium (if any) on any notes of such series of the Notes;</w:t>
      </w:r>
    </w:p>
    <w:p>
      <w:pPr>
        <w:spacing w:after="0" w:line="165"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Corporation, continuing for 30 days, to pay any interest due on any notes of such series of the Notes;</w:t>
      </w:r>
    </w:p>
    <w:p>
      <w:pPr>
        <w:spacing w:after="0" w:line="165" w:lineRule="exact"/>
        <w:rPr>
          <w:rFonts w:ascii="Times New Roman" w:cs="Times New Roman" w:eastAsia="Times New Roman" w:hAnsi="Times New Roman"/>
          <w:sz w:val="14"/>
          <w:szCs w:val="14"/>
          <w:color w:val="auto"/>
        </w:rPr>
      </w:pPr>
    </w:p>
    <w:p>
      <w:pPr>
        <w:ind w:left="980" w:hanging="243"/>
        <w:spacing w:after="0" w:line="264"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or violation of any covenant or condition (other than as referred to in (a) and (b) above), which continues for a period of 60 days after notice from the Trustee or from holders of at least 25% of the principal amount of all outstanding notes of such series of the Notes, if such covenant or condition applies to such series of the Notes;</w:t>
      </w:r>
    </w:p>
    <w:p>
      <w:pPr>
        <w:spacing w:after="0" w:line="136" w:lineRule="exact"/>
        <w:rPr>
          <w:rFonts w:ascii="Times New Roman" w:cs="Times New Roman" w:eastAsia="Times New Roman" w:hAnsi="Times New Roman"/>
          <w:sz w:val="14"/>
          <w:szCs w:val="14"/>
          <w:color w:val="auto"/>
        </w:rPr>
      </w:pPr>
    </w:p>
    <w:p>
      <w:pPr>
        <w:jc w:val="both"/>
        <w:ind w:left="980" w:hanging="243"/>
        <w:spacing w:after="0" w:line="295" w:lineRule="auto"/>
        <w:tabs>
          <w:tab w:leader="none" w:pos="9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payment at maturity, including any applicable grace period, or default in the performance or observance of any other covenant, term, agreement or condition with respect to any single item of Indebtedness in an amount in excess of 5% of Consolidated Shareholders’ Equity or with respect to more than two items of Indebtedness in an aggregate amount in excess of 10% of Consolidated Shareholders’ Equity and, if such Indebtedness has not already matured in accordance with its terms, such Indebtedness has been accelerated, if such Indebtedness has not been discharged or such acceleration shall not have been rescinded or annulled within a period of 10 days after there shall have been given, by registered or certified mail, to the Corporation by the Trustee or to the Corporation and the Trustee by the holders of at least 25% of the principal amount of the outstanding notes of such series of the Notes a written notice specifying the default and requiring the Corporation to cause such Indebtedness to be discharged or cause such acceleration to be rescinded or annulled, provided that if the Indebtedness is discharged or the applicable default under the Indebtedness is waived by the persons entitled to do so, then the Event of Default under the Indenture will be deemed waived; 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1" w:name="page32"/>
    <w:bookmarkEnd w:id="31"/>
    <w:p>
      <w:pPr>
        <w:ind w:left="740"/>
        <w:spacing w:after="0"/>
        <w:rPr>
          <w:sz w:val="20"/>
          <w:szCs w:val="20"/>
          <w:color w:val="auto"/>
        </w:rPr>
      </w:pPr>
      <w:r>
        <w:rPr>
          <w:rFonts w:ascii="Times New Roman" w:cs="Times New Roman" w:eastAsia="Times New Roman" w:hAnsi="Times New Roman"/>
          <w:sz w:val="14"/>
          <w:szCs w:val="14"/>
          <w:color w:val="auto"/>
        </w:rPr>
        <w:t>(e)  certain events of bankruptcy, insolvency or reorganization involving the Corporation.</w:t>
      </w:r>
    </w:p>
    <w:p>
      <w:pPr>
        <w:spacing w:after="0" w:line="16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If an Event of Default occurs and is continuing with respect to any series of the Notes, then in every such case the Trustee or the holders of at least 25% of the aggregate principal amount of the outstanding notes of such affected series of the Notes may declare the entire principal amount of such series of the Notes and all interest thereon to be immediately due and payable. However, at any time after a declaration of acceleration with respect to any series of the Notes has been made, but before a judgment or decree for payment of the money due has been obtained, the holders of a majority in principal amount of the outstanding notes of such series of the Notes, by written notice to the Corporation and the Trustee under certain circumstances (which include payment or deposit with the Trustee of outstanding principal, premium and interest), may rescind and annul such acceleration.</w:t>
      </w:r>
    </w:p>
    <w:p>
      <w:pPr>
        <w:spacing w:after="0" w:line="14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Indenture provides that, subject to the duty of the Trustee during default to act with the required standard of care, the Trustee shall be under no obligation to exercise any of its rights and powers under the Indenture at the request or direction of any of the Noteholders, unless such Noteholders shall have offered to the Trustee reasonable indemnity. Subject to such provisions for indemnification of the Trustee and certain other limitations set forth in the Indenture, the holders of a majority in principal amount of the outstanding notes of a series of the Notes affected by an Event of Default shall have the right to direct the time, method and place of conducting any proceeding for any remedy available to the Trustee, or exercising any trust or power conferred on the Trustee, with respect to the notes of such series of the Notes.</w:t>
      </w:r>
    </w:p>
    <w:p>
      <w:pPr>
        <w:spacing w:after="0" w:line="14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No Noteholder of any series of Notes will have any right to institute any proceeding with respect to the Indenture (including the guarantees thereof), or for the appointment of a receiver or a Trustee, or for any other remedy thereunder, unless (a) such Noteholder has previously given to the Trustee written notice of a continuing Event of Default with respect to the notes of such series of the Notes, (b) the holders of at least 25% of the aggregate principal amount of the outstanding notes of such series of the Notes have made written request, and such Noteholder or Noteholders have offered reasonable indemnity, to the Trustee to institute such proceeding as Trustee, and (c) the Trustee has failed to institute such proceeding, and has not received from the holders of a majority in aggregate principal amount of the outstanding notes of such series of the Notes a direction inconsistent with such request, within 60 days after such notice, request and offer. However, such limitations do not apply to a suit instituted by a Noteholder for the enforcement of payment of the principal of or any premium or interest on such Notes on or after the applicable due date specified in such Notes.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7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color w:val="auto"/>
        </w:rPr>
        <w:t>Modifications and amendments of the Indenture may be made by the Corporation and the Trustee with the consent of the holders of a majority of the principal amount of the outstanding debt securities of each series issued under the Indenture (including each series of the Notes) affected by such modification or amendment; provided, however, that no such modification or amendment may, without the consent of the holder of each outstanding debt security of such affected series: (1) change the stated maturity of the principal of, or any installment of interest, if any, on any debt security;</w:t>
      </w:r>
    </w:p>
    <w:p>
      <w:pPr>
        <w:spacing w:after="0" w:line="1" w:lineRule="exact"/>
        <w:rPr>
          <w:sz w:val="20"/>
          <w:szCs w:val="20"/>
          <w:color w:val="auto"/>
        </w:rPr>
      </w:pPr>
    </w:p>
    <w:p>
      <w:pPr>
        <w:jc w:val="both"/>
        <w:ind w:firstLine="2"/>
        <w:spacing w:after="0" w:line="244" w:lineRule="auto"/>
        <w:tabs>
          <w:tab w:leader="none" w:pos="20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premium, if any, or the rate of interest, if any, on any debt security; (3) change the Place of Payment; (4) change the currency or currency unit of payment of principal of (or premium, if any) or interest, if any, on any debt security; (5) impair the right to institute suit for the enforcement of any payment on or with respect to any debt security; (6) adversely affect any right to convert or exchange any debt security; (7) reduce the percentage of principal amount of outstanding debt securities of such series, the consent of the holders of which is required for modification or amendment of the Indenture or for waiver of compliance with certain provisions of the Indenture or for waiver of certain defaults; (8) modify the provisions of the Indenture relating to subordination in a manner that adversely affects the rights of the holders of debt securities; or (9) modify any provisions of the Indenture relating to the modification and amendment of the Indenture or the waiver of past defaults or covenants except as otherwise specified in the Indenture.</w:t>
      </w:r>
    </w:p>
    <w:p>
      <w:pPr>
        <w:spacing w:after="0" w:line="15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holders of a majority of the principal amount of any series of the Notes may on behalf of the Noteholders of that series of the Notes waive, insofar as that series of the Notes is concerned, compliance by the Corporation with certain restrictive provisions of the Indenture, including the covenants and events of default. The holders of a majority in principal amount of any series of the Notes may waive any past default under the Indenture with respect to that series of the Notes, except a default in the payment of the principal of (or premium, if any) and interest, if any, on that series of the Notes or in respect of a provision which under the Indenture cannot be modified or amended without the consent of the holder of each outstanding note of that series of Notes. The Indenture or the Notes may be amended or supplemented, without the consent of any holder of debt securities, in order, among other purposes, to cure any ambiguity or inconsistency or to make any change that does not have an adverse effect on the rights of any holder of the debt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70" w:lineRule="exact"/>
        <w:rPr>
          <w:sz w:val="20"/>
          <w:szCs w:val="20"/>
          <w:color w:val="auto"/>
        </w:rPr>
      </w:pPr>
    </w:p>
    <w:p>
      <w:pPr>
        <w:jc w:val="both"/>
        <w:ind w:firstLine="490"/>
        <w:spacing w:after="0" w:line="288" w:lineRule="auto"/>
        <w:rPr>
          <w:sz w:val="20"/>
          <w:szCs w:val="20"/>
          <w:color w:val="auto"/>
        </w:rPr>
      </w:pPr>
      <w:r>
        <w:rPr>
          <w:rFonts w:ascii="Times New Roman" w:cs="Times New Roman" w:eastAsia="Times New Roman" w:hAnsi="Times New Roman"/>
          <w:sz w:val="12"/>
          <w:szCs w:val="12"/>
          <w:color w:val="auto"/>
        </w:rPr>
        <w:t>The Indenture provides that, at its option, the Corporation will be discharged from any and all obligations in respect of the outstanding notes of any series of the Notes upon irrevocable deposit with the Trustee, in trust, of money and/or United States government securities which will provide money in an amount sufficient in the opinion of a nationally recognized firm of independent public accountants to pay the principal of and premium, if any, and each installment of interest, if any, on the outstanding notes of such series of Notes (“Defeasance”) (except with respect to the authentication, transfer, exchange or replacement of Notes or the maintenance of a Place of Payment and certain other obligations set forth in the Indenture). Such trust may only be established if among other things (1) the Corporation has delivered to the Trustee an opinion of counsel in the United States stating that (a) the Corporation has received from, or there has been published by, the Internal Revenue Service a ruling, or</w:t>
      </w:r>
    </w:p>
    <w:p>
      <w:pPr>
        <w:spacing w:after="0" w:line="1" w:lineRule="exact"/>
        <w:rPr>
          <w:sz w:val="20"/>
          <w:szCs w:val="20"/>
          <w:color w:val="auto"/>
        </w:rPr>
      </w:pPr>
    </w:p>
    <w:p>
      <w:pPr>
        <w:jc w:val="both"/>
        <w:ind w:firstLine="2"/>
        <w:spacing w:after="0" w:line="243" w:lineRule="auto"/>
        <w:tabs>
          <w:tab w:leader="none" w:pos="20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since the date of execution of the Indenture, there has been a change in the applicable United States federal income tax law, in either case to the effect that the holders of the outstanding notes of such series of the Notes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(2) the Corporation has delivered to the Trustee an opinion of counsel in Canada or a ruling from the Canada Revenue Agency (“CRA”) to the effect that the holders of the outstanding notes of such series of the Notes will not recognize income, gain or loss for Canadian federal, provincial or territorial income or other tax purposes as a result of such Defeasance and will be subject to Canadian federal or provincial income and other tax on the same amounts, in the same manner and at the same times as would have been the case had such Defeasance not occurred (and for the purposes of such opinion, such Canadian counsel shall assume that holders of the outstanding notes of such series of the Notes include holders who are not resident in Canada); (3) no Event of Default or event that, with the passing of time or the giving of notice, or both, shall constitute an Event of Default shall have occurred and be continuing on the date of such deposit; (4) the Corporation is not an “insolvent person” within the meaning of the </w:t>
      </w:r>
      <w:r>
        <w:rPr>
          <w:rFonts w:ascii="Times New Roman" w:cs="Times New Roman" w:eastAsia="Times New Roman" w:hAnsi="Times New Roman"/>
          <w:sz w:val="14"/>
          <w:szCs w:val="14"/>
          <w:i w:val="1"/>
          <w:iCs w:val="1"/>
          <w:color w:val="auto"/>
        </w:rPr>
        <w:t>Bankruptcy and Insolvency Act</w:t>
      </w:r>
      <w:r>
        <w:rPr>
          <w:rFonts w:ascii="Times New Roman" w:cs="Times New Roman" w:eastAsia="Times New Roman" w:hAnsi="Times New Roman"/>
          <w:sz w:val="14"/>
          <w:szCs w:val="14"/>
          <w:color w:val="auto"/>
        </w:rPr>
        <w:t xml:space="preserve"> (Canada); (5) the Corporation has delivered to the Trustee an opinion of counsel to the effect that such deposit shall not cause the Trustee or the trust so created to be subject to the </w:t>
      </w:r>
      <w:r>
        <w:rPr>
          <w:rFonts w:ascii="Times New Roman" w:cs="Times New Roman" w:eastAsia="Times New Roman" w:hAnsi="Times New Roman"/>
          <w:sz w:val="14"/>
          <w:szCs w:val="14"/>
          <w:i w:val="1"/>
          <w:iCs w:val="1"/>
          <w:color w:val="auto"/>
        </w:rPr>
        <w:t>United States Investment Company Act of 1940,</w:t>
      </w:r>
      <w:r>
        <w:rPr>
          <w:rFonts w:ascii="Times New Roman" w:cs="Times New Roman" w:eastAsia="Times New Roman" w:hAnsi="Times New Roman"/>
          <w:sz w:val="14"/>
          <w:szCs w:val="14"/>
          <w:color w:val="auto"/>
        </w:rPr>
        <w:t xml:space="preserve"> as amended; and (6) other customary conditions precedent are satisfied. The Corporation may exercise its Defeasance option notwithstanding its prior exercise of its Covenant Defeasance option described in the following paragraph if the Corporation meets the conditions described in the preceding sentence at the time the Corporation exercises the Defeasance option.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33" w:name="page34"/>
    <w:bookmarkEnd w:id="33"/>
    <w:p>
      <w:pPr>
        <w:jc w:val="both"/>
        <w:ind w:firstLine="490"/>
        <w:spacing w:after="0" w:line="290" w:lineRule="auto"/>
        <w:rPr>
          <w:sz w:val="20"/>
          <w:szCs w:val="20"/>
          <w:color w:val="auto"/>
        </w:rPr>
      </w:pPr>
      <w:r>
        <w:rPr>
          <w:rFonts w:ascii="Times New Roman" w:cs="Times New Roman" w:eastAsia="Times New Roman" w:hAnsi="Times New Roman"/>
          <w:sz w:val="12"/>
          <w:szCs w:val="12"/>
          <w:color w:val="auto"/>
        </w:rPr>
        <w:t xml:space="preserve">The Indenture provides that, at its option, the Corporation may omit to comply with certain covenants, including certain of the covenants described above under the heading “Covenants”, and such omission shall not be deemed to be an Event of Default under the Indenture and the outstanding Notes upon irrevocable deposit with the Trustee, in trust, of money and/or United States government securities which will provide money in an amount sufficient in the opinion of a nationally recognized firm of independent public accountants to pay the principal of and premium, if any, and each installment of interest, if any, on the outstanding Notes (“Covenant Defeasance”). If the Corporation exercises its Covenant Defeasance option, the obligations under the Indenture other than with respect to such covenants and the Events of Default other than with respect to such covenants shall remain in full force and effect. Such trust may only be established if, among other things, (1) the Corporation has delivered to the Trustee an opinion of counsel in the United States to the effect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(2) the Corporation has delivered to the Trustee an opinion of counsel in Canada or a ruling from the CRA to the effect that the holders of such outstanding Notes will not recognize income, gain or loss for Canadian federal, provincial or territorial income or other tax purposes as a result of such Covenant Defeasance and will be subject to Canadian federal or provincial income and other tax on the same amounts, in the same manner and at the same times as would have been the case had such Covenant Defeasance not occurred (and for the purposes of such opinion, such Canadian counsel shall assume that holders of the outstanding Notes include holders who are not resident in Canada); (3) no Event of Default or event that, with the passing of time or the giving of notice, or both, shall constitute an Event of Default shall have occurred and be continuing on the date of such deposit; (4) the Corporation is not an “insolvent person” within the meaning of the </w:t>
      </w:r>
      <w:r>
        <w:rPr>
          <w:rFonts w:ascii="Times New Roman" w:cs="Times New Roman" w:eastAsia="Times New Roman" w:hAnsi="Times New Roman"/>
          <w:sz w:val="12"/>
          <w:szCs w:val="12"/>
          <w:i w:val="1"/>
          <w:iCs w:val="1"/>
          <w:color w:val="auto"/>
        </w:rPr>
        <w:t>Bankruptcy and Insolvency Act</w:t>
      </w:r>
      <w:r>
        <w:rPr>
          <w:rFonts w:ascii="Times New Roman" w:cs="Times New Roman" w:eastAsia="Times New Roman" w:hAnsi="Times New Roman"/>
          <w:sz w:val="12"/>
          <w:szCs w:val="12"/>
          <w:color w:val="auto"/>
        </w:rPr>
        <w:t xml:space="preserve"> (Canada);</w:t>
      </w:r>
    </w:p>
    <w:p>
      <w:pPr>
        <w:spacing w:after="0" w:line="139" w:lineRule="exact"/>
        <w:rPr>
          <w:sz w:val="20"/>
          <w:szCs w:val="20"/>
          <w:color w:val="auto"/>
        </w:rPr>
      </w:pPr>
    </w:p>
    <w:p>
      <w:pPr>
        <w:ind w:firstLine="2"/>
        <w:spacing w:after="0" w:line="247" w:lineRule="auto"/>
        <w:tabs>
          <w:tab w:leader="none" w:pos="19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has delivered to the Trustee an opinion of counsel to the effect that such deposit shall not cause the Trustee or the trust so created to be subject to the </w:t>
      </w:r>
      <w:r>
        <w:rPr>
          <w:rFonts w:ascii="Times New Roman" w:cs="Times New Roman" w:eastAsia="Times New Roman" w:hAnsi="Times New Roman"/>
          <w:sz w:val="14"/>
          <w:szCs w:val="14"/>
          <w:i w:val="1"/>
          <w:iCs w:val="1"/>
          <w:color w:val="auto"/>
        </w:rPr>
        <w:t>United States Investment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Act of 1940</w:t>
      </w:r>
      <w:r>
        <w:rPr>
          <w:rFonts w:ascii="Times New Roman" w:cs="Times New Roman" w:eastAsia="Times New Roman" w:hAnsi="Times New Roman"/>
          <w:sz w:val="14"/>
          <w:szCs w:val="14"/>
          <w:color w:val="auto"/>
        </w:rPr>
        <w:t>, as amended; and (6) other customary conditions precedent are satisfied.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170" w:lineRule="exact"/>
        <w:rPr>
          <w:sz w:val="20"/>
          <w:szCs w:val="20"/>
          <w:color w:val="auto"/>
        </w:rPr>
      </w:pPr>
    </w:p>
    <w:p>
      <w:pPr>
        <w:jc w:val="both"/>
        <w:ind w:firstLine="490"/>
        <w:spacing w:after="0" w:line="291" w:lineRule="auto"/>
        <w:rPr>
          <w:sz w:val="20"/>
          <w:szCs w:val="20"/>
          <w:color w:val="auto"/>
        </w:rPr>
      </w:pPr>
      <w:r>
        <w:rPr>
          <w:rFonts w:ascii="Times New Roman" w:cs="Times New Roman" w:eastAsia="Times New Roman" w:hAnsi="Times New Roman"/>
          <w:sz w:val="12"/>
          <w:szCs w:val="12"/>
          <w:color w:val="auto"/>
        </w:rPr>
        <w:t>The Notes will be represented by fully registered global securities (the “Global Securities”) registered in the name of Cede &amp; Co. (the nominee of The Depository Trust Company (the “Depositary”)), or such other name as may be requested by an authorized representative of the Depositary. The authorized minimum denominations of each Note will be US$2,000 and integral multiples of US$1,000 in excess thereof. Accordingly, Notes may be transferred or exchanged only through the Depositary and its participants. Except as described below, owners of beneficial interests in the Global Securities will not be entitled to receive Notes in definitive form. Account holders in the Euroclear or Clearstream clearance systems may hold beneficial interests in the Notes through the accounts that each of these systems maintains as a participant in the Depositary. So long as the Depositary for a Global Security or its nominee is the registered owner of the Global Security, such Depositary or such nominee, as the case may be, will be considered the sole owner or holder of the Notes represented by the Global Security for all purposes under the Indenture. Except as provided below, owners of beneficial interests in a Global Security will not be entitled to have the Notes represented by the Global Security registered in their names, will not receive or be entitled to receive physical delivery of the Notes of such series in definitive form and will not be considered the owners or holders thereof under the Indenture. Beneficial Owners (as defined below) will not receive certificates representing their ownership interests in the Notes except in the event that use of the book-entry system for the Notes is discontinued or if there shall have occurred and be continuing an event of default under the Indenture. The Depositary will have no knowledge of the actual beneficial owners of the Notes; the Depositary’s records will reflect only the identity of the direct participants to whose accounts the Notes are credited, which may or may not be the beneficial owners. The Direct Participants and Indirect Participants (as each is defined below) will remain responsible for keeping account of their holdings on behalf of their customers.</w:t>
      </w:r>
    </w:p>
    <w:p>
      <w:pPr>
        <w:spacing w:after="0" w:line="288"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Each person owning a beneficial interest in a Global Security must rely on the procedures of the Depositary and, if such person is not a participant, on the procedures of the participant through which such person owns its interest in order to exercise any rights of a Noteholder under the Indenture. The laws of some jurisdictions require that certain purchasers of securities take physical delivery of such securities in certificated form. Such limits and such laws may impair the ability to transfer beneficial interests in a Global Security representing the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Depositary</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following is based on information furnished by the Depositary: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U.S.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These direct Participants (“Direct Participants”) include securities brokers and dealers, banks, trust companies, clearing corporations and certain other organizations.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35" w:name="page36"/>
    <w:bookmarkEnd w:id="35"/>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Purchases of the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and Indirect Participants’ records. Beneficial Owners will not receive written confirmation from the Depositary of their purchase. Beneficial Owners are, however, expected to receive written confirmations providing details of the transaction, as well as periodic statements of their holdings, from the Direct or Indirect Participants through which such Beneficial Owner entered into the transaction. Transfers of ownership interests in a Global Security representing Notes are to be accomplished by entries made on the books of Participants acting on behalf of Beneficial Owners. Beneficial Owners of a Global Security representing the Notes will not receive Notes in definitive form representing their ownership interests therein, except in the event that use of the book-entry system for such Notes is discontinued.</w:t>
      </w:r>
    </w:p>
    <w:p>
      <w:pPr>
        <w:spacing w:after="0" w:line="15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To facilitate subsequent transfers, the Global Securities representing the Notes which are deposited with the Depositary are registered in the name of the Depositary’s nominee, Cede &amp; Co., or such other name as may be requested by an authorized representative of the Depositary. The deposit of Global Securities with the Depositary and their registration in the name of Cede &amp; Co. or such other nominee effect no change in beneficial ownership. The Depositary has no knowledge of the actual Beneficial Owners of the Global Securities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49"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the Notes may wish to take certain steps to augment transmission to them of notices of significant events with respect to the Notes, such as redemptions, tenders, defaults and proposed amendments to the Indenture.</w:t>
      </w:r>
    </w:p>
    <w:p>
      <w:pPr>
        <w:spacing w:after="0" w:line="14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Any redemption notices relating to the Notes will be sent to the Depositary. If less than all of the Notes are being redeemed, the Depositary may determine by lot the amount of the interest of each Direct Participant in the Notes to be redeemed. Neither the Depositary nor its nominee will consent or vote with respect to the Notes unless authorized by a Direct Participant in accordance with the Depositary’s procedures. Under its procedures, the Depositary may send a proxy to the Corporation as soon as possible after the record date for a consent or vote. The proxy would assign the Depositary’s nominee’s consenting or voting rights to those Direct Participants to whose accounts the Notes are credited on the relevant record date.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6" w:name="page37"/>
    <w:bookmarkEnd w:id="36"/>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Neither the Depositary nor Cede &amp; Co. (nor such other nominee of the Depositary) will consent or vote with respect to the Global Securities representing the Notes. Under its usual procedures, the Depositary mails an “omnibus proxy” to the Corporation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4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Principal, premium, if any, and interest payments on the Global Securities representing the Notes will be made to Cede &amp; Co. (or such other nominee as may be requested by an authorized representative of the Depositary). The Depositary’s practice is to credit Direct Participants’ accounts, upon the Depositary’s receipt of funds and corresponding detail information from the Corporation or the Trustee, on the applicable payment date in accordance with their respective holdings shown on the Depositary’s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the Corporation, subject to any statutory or regulatory requirements as may be in effect from time to time. Payment of principal, premium, if any, and interest to Cede &amp; Co. (or such other nominee as may be requested by an authorized representative of the Depositary) is the responsibility of the Corporation or the Trustee, disbursement of such payments to Direct Participants shall be the responsibility of the Depositary, and disbursement of such payments to the Beneficial Owners shall be the responsibility of Direct and Indirect Participants.</w:t>
      </w:r>
    </w:p>
    <w:p>
      <w:pPr>
        <w:spacing w:after="0" w:line="14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The Depositary may discontinue providing its services as securities depository with respect to the Notes at any time by giving reasonable notice to the Corporation or the Trustee. Under such circumstances, in the event that a successor securities depository is not obtained, Notes in definitive form are required to be printed and delivered to each Noteholder. No Global Security may be exchanged in whole or in part, and no transfer of a Global Security in whole or in part may be registered, in the name of any person other than the Depositary for the Global Security or its nominee unless (1) the Depositary (A) has notified the Corporation that it is unwilling or unable to continue as Depositary for the Global Security or (B) has ceased to be a clearing agency registered under the U.S. Exchange Act, or (2) there shall have occurred and be continuing an event of default under the Indenture. Except for certain restrictions set forth in the Indenture, no service charge will be made for any registration of transfer or exchange of the Notes, but the Corporation may, in certain instances, require a sum sufficient to cover any tax or other governmental charges payable in connection with these transactions. The Corporation shall not be required to: (i) issue, register the transfer of or exchange Notes during a period beginning at the opening of business 15 days before the mailing of a notice of redemption of Notes to be redeemed and ending at the close of business on the day of mailing of the relevant notice of redemption; (ii) register the transfer of or exchange the Notes, or a portion thereof, called for redemption, except the unredeemed portion of the Notes being redeemed in part; or (iii) issue, register the transfer of or exchange any Notes which have been surrendered for repayment at the option of the holder, except the portion, if any, thereof not to be so repaid.</w:t>
      </w:r>
    </w:p>
    <w:p>
      <w:pPr>
        <w:spacing w:after="0" w:line="154"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Corporation may decide to discontinue use of the system of book-entry transfers through the Depositary (or a successor securities depository). In that event, Notes in definitive form will be printed and delivered.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7" w:name="page38"/>
    <w:bookmarkEnd w:id="37"/>
    <w:p>
      <w:pPr>
        <w:ind w:left="500"/>
        <w:spacing w:after="0"/>
        <w:rPr>
          <w:sz w:val="20"/>
          <w:szCs w:val="20"/>
          <w:color w:val="auto"/>
        </w:rPr>
      </w:pPr>
      <w:r>
        <w:rPr>
          <w:rFonts w:ascii="Times New Roman" w:cs="Times New Roman" w:eastAsia="Times New Roman" w:hAnsi="Times New Roman"/>
          <w:sz w:val="14"/>
          <w:szCs w:val="14"/>
          <w:color w:val="auto"/>
        </w:rPr>
        <w:t>Settlement for the Notes will be made in immediately available funds. Secondary market trading in the Notes will be settled in immediately available funds.</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information in this section concerning the Depositary and the Depositary’s book-entry system has been obtained from sources that the Corporation believes to be reliable, but is subject to any changes to the arrangements between the Corporation and the Depositary and any changes to such procedures that may be instituted unilaterally by the Depositary.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Euroclear is incorporated under the laws of Belgium as a bank and is subject to regulation by the Belgian Banking, Finance and Insurance Commission (La Commission Bancaire, Financière et des Assurances) and the National Bank of Belgium (Banque Nationale de Belgique). Euroclear holds securities for its customers and facilitates the clearance and settlement of securities transactions among them. It does so through simultaneous electronic book-entry delivery against payment, thereby eliminating the need for physical movement of certificates. Euroclear provides other services to its customers, including credit, custody, lending and borrowing of securities and tri-party collateral management. It interfaces with the domestic markets of several countries. Euroclear customers include banks, including central banks, securities brokers and dealers, trust companies and clearing corporations and may include certain other professional financial intermediaries. Indirect access to the Euroclear system is also available to others that clear through Euroclear customers or that have custodial relationships with Euroclear customers. All securities in Euroclear are held on a fungible basis. This means that specific certificates are not matched to specific securities clearance accounts.</w:t>
      </w:r>
    </w:p>
    <w:p>
      <w:pPr>
        <w:spacing w:after="0" w:line="147"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information in this section concerning Euroclear has been obtained from sources that the Corporation believes to be reliable, but is subject to any changes that may be instituted unilaterally by Euroclear.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Clearstream is a duly licensed bank organized as a société anonyme incorporated under the laws of Luxembourg and is subject to regulation by the Luxembourg Commission for the Supervision of the Financial Sector (Commission de Surveillance du Secteur Financier). Clearstream holds securities for its customers and facilitates the clearance and settlement of securities transactions among them. It does so through electronic book-entry transfers between the accounts of its customers. This eliminates the need for physical movement of securities. Clearstream provides other services to its customers, including safekeeping, administration, clearance and settlement of internationally traded securities and lending and borrowing of securities. It interfaces with the domestic markets in over 30 countries through established depositary and custodial relationships. Clearstream’s customers include worldwide securities brokers and dealers, banks, trust companies and clearing corporations and may include professional financial intermediaries. Its U.S. customers are limited to securities brokers and dealers and banks. Indirect access to the Clearstream system is also available to others that clear through Clearstream customers or that have custodial relationships with its customers, such as banks, brokers, dealers and trust companies.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8" w:name="page39"/>
    <w:bookmarkEnd w:id="38"/>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information in this section concerning Clearstream has been obtained from sources that the Corporation believes to be reliable, but is subject to any changes that may be instituted unilaterally by Clearstream.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Clearance and Settlement Procedures</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Cross market transfers between persons holding directly or indirectly through the Depositary, on the one hand, and directly or indirectly through Euroclear or Clearstream, on the other, will be effected through the Depositary in accordance with Depositary rules on behalf of the relevant European international clearing system by its U.S. depositary; however, such cross 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the Depositary, and making or receiving payment in accordance with normal procedures for same day funds settlement applicable to the Depositary. Clearstream participants and Euroclear participants may not deliver instructions directly to their respective U.S. depositaries.</w:t>
      </w:r>
    </w:p>
    <w:p>
      <w:pPr>
        <w:spacing w:after="0" w:line="15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Because of time zone differences, credits of Notes received through Clearstream or Euroclear as a result of a transaction with a Depositary participant will be made during subsequent securities settlement processing and dated the Business Day following the Depositary settlement date. Such credits or any transactions in such Notes settled during that processing will be reported to the relevant Euroclear participants or Clearstream participants on that following Business Day. Cash received in Clearstream or Euroclear as a result of sales of Notes by or through a Clearstream participant or a Euroclear participant to a Depositary participant will be received with value on the Depositary settlement date but will be available in the relevant Clearstream or Euroclear cash account only as of the Business Day following settlement with the Depositary.</w:t>
      </w:r>
    </w:p>
    <w:p>
      <w:pPr>
        <w:spacing w:after="0" w:line="149"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Although the Depositary, Clearstream and Euroclear have agreed to the foregoing procedures in order to facilitate transfers of Notes among participants of the Depositary, Clearstream and Euroclear, they are under no obligation to perform or continue to perform those procedures and those procedures may be modified or discontinued at any time. Neither we nor the paying agent will have any responsibility for the performance by the Depositary, Euroclear or Clearstream or their respective direct or indirect participants of their obligations under the rules and procedures governing their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to Jurisdiction and Service</w:t>
      </w:r>
    </w:p>
    <w:p>
      <w:pPr>
        <w:spacing w:after="0" w:line="170" w:lineRule="exact"/>
        <w:rPr>
          <w:sz w:val="20"/>
          <w:szCs w:val="20"/>
          <w:color w:val="auto"/>
        </w:rPr>
      </w:pPr>
    </w:p>
    <w:p>
      <w:pPr>
        <w:jc w:val="both"/>
        <w:ind w:firstLine="490"/>
        <w:spacing w:after="0" w:line="349" w:lineRule="auto"/>
        <w:rPr>
          <w:sz w:val="20"/>
          <w:szCs w:val="20"/>
          <w:color w:val="auto"/>
        </w:rPr>
      </w:pPr>
      <w:r>
        <w:rPr>
          <w:rFonts w:ascii="Times New Roman" w:cs="Times New Roman" w:eastAsia="Times New Roman" w:hAnsi="Times New Roman"/>
          <w:sz w:val="12"/>
          <w:szCs w:val="12"/>
          <w:color w:val="auto"/>
        </w:rPr>
        <w:t>Under the Indenture, the Corporation agrees to appoint Enbridge (U.S.) Inc., as its authorized agent for service of process in any suit or proceeding arising out of or relating to the Notes or the Indenture in connection with the Notes and for actions brought under federal or state securities laws in any federal or state court located in the city of New York, and irrevocably submits to such jurisdiction.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Notes, the related guarantees and the Indenture will be governed by and construed in accordance with the laws of the State of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Indenture contains, among others, definitions substantially to the following effect:</w:t>
      </w:r>
    </w:p>
    <w:p>
      <w:pPr>
        <w:spacing w:after="0" w:line="164" w:lineRule="exact"/>
        <w:rPr>
          <w:sz w:val="20"/>
          <w:szCs w:val="20"/>
          <w:color w:val="auto"/>
        </w:rPr>
      </w:pPr>
    </w:p>
    <w:p>
      <w:pPr>
        <w:ind w:firstLine="49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Tangible Assets</w:t>
      </w:r>
      <w:r>
        <w:rPr>
          <w:rFonts w:ascii="Times New Roman" w:cs="Times New Roman" w:eastAsia="Times New Roman" w:hAnsi="Times New Roman"/>
          <w:sz w:val="14"/>
          <w:szCs w:val="14"/>
          <w:color w:val="auto"/>
        </w:rPr>
        <w:t>” means all consolidated assets of the Corporation as shown on the most recent audited consolidated balance sheet of the Corporation, less the aggregate of the following amounts reflected upon such balance sheet:</w:t>
      </w:r>
    </w:p>
    <w:p>
      <w:pPr>
        <w:spacing w:after="0" w:line="134" w:lineRule="exact"/>
        <w:rPr>
          <w:sz w:val="20"/>
          <w:szCs w:val="20"/>
          <w:color w:val="auto"/>
        </w:rPr>
      </w:pPr>
    </w:p>
    <w:p>
      <w:pPr>
        <w:ind w:left="1220" w:hanging="483"/>
        <w:spacing w:after="0"/>
        <w:tabs>
          <w:tab w:leader="none" w:pos="1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goodwill, deferred assets, trademarks, copyrights and other similar intangible assets;</w:t>
      </w:r>
    </w:p>
    <w:p>
      <w:pPr>
        <w:spacing w:after="0" w:line="165" w:lineRule="exact"/>
        <w:rPr>
          <w:rFonts w:ascii="Times New Roman" w:cs="Times New Roman" w:eastAsia="Times New Roman" w:hAnsi="Times New Roman"/>
          <w:sz w:val="14"/>
          <w:szCs w:val="14"/>
          <w:color w:val="auto"/>
        </w:rPr>
      </w:pPr>
    </w:p>
    <w:p>
      <w:pPr>
        <w:jc w:val="both"/>
        <w:ind w:left="1220" w:hanging="483"/>
        <w:spacing w:after="0" w:line="254" w:lineRule="auto"/>
        <w:tabs>
          <w:tab w:leader="none" w:pos="1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already deducted in computing such assets and without duplication, depreciation, depletion, amortization, reserves and any other account which reflects a decrease in the value of an asset or a periodic allocation of the cost of an asset; provided that no deduction shall be made under this paragraph (b) to the extent that such amount reflects a decrease in value or periodic allocation of the cost of any asset referred to in paragraph (a) above;</w:t>
      </w:r>
    </w:p>
    <w:p>
      <w:pPr>
        <w:spacing w:after="0" w:line="142"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minority interests;</w:t>
      </w:r>
    </w:p>
    <w:p>
      <w:pPr>
        <w:spacing w:after="0" w:line="165"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current assets; and</w:t>
      </w:r>
    </w:p>
    <w:p>
      <w:pPr>
        <w:spacing w:after="0" w:line="165" w:lineRule="exact"/>
        <w:rPr>
          <w:rFonts w:ascii="Times New Roman" w:cs="Times New Roman" w:eastAsia="Times New Roman" w:hAnsi="Times New Roman"/>
          <w:sz w:val="14"/>
          <w:szCs w:val="14"/>
          <w:color w:val="auto"/>
        </w:rPr>
      </w:pPr>
    </w:p>
    <w:p>
      <w:pPr>
        <w:ind w:left="1220" w:hanging="483"/>
        <w:spacing w:after="0"/>
        <w:tabs>
          <w:tab w:leader="none" w:pos="1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Non-Recourse Assets to the extent of the outstanding Non-Recourse Debt financing of such assets.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Financial Instrument Obligations</w:t>
      </w:r>
      <w:r>
        <w:rPr>
          <w:rFonts w:ascii="Times New Roman" w:cs="Times New Roman" w:eastAsia="Times New Roman" w:hAnsi="Times New Roman"/>
          <w:sz w:val="14"/>
          <w:szCs w:val="14"/>
          <w:color w:val="auto"/>
        </w:rPr>
        <w:t>” means obligations arising under:</w:t>
      </w:r>
    </w:p>
    <w:p>
      <w:pPr>
        <w:spacing w:after="0" w:line="168" w:lineRule="exact"/>
        <w:rPr>
          <w:sz w:val="20"/>
          <w:szCs w:val="20"/>
          <w:color w:val="auto"/>
        </w:rPr>
      </w:pPr>
    </w:p>
    <w:p>
      <w:pPr>
        <w:jc w:val="both"/>
        <w:ind w:left="1220" w:hanging="483"/>
        <w:spacing w:after="0" w:line="254" w:lineRule="auto"/>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swap agreement, forward rate agreement, floor, cap or collar agreement, futures or options, insurance or other similar agreement or arrangement, or any combination thereof, entered into or guaranteed by the Corporation where the subject matter of the same is interest rates or the price, value, or amount payable thereunder is dependent or based upon the interest rates or fluctuations in interest rates in effect from time to time (but, for certainty, shall exclude conventional floating rate debt);</w:t>
      </w:r>
    </w:p>
    <w:p>
      <w:pPr>
        <w:spacing w:after="0" w:line="142" w:lineRule="exact"/>
        <w:rPr>
          <w:rFonts w:ascii="Times New Roman" w:cs="Times New Roman" w:eastAsia="Times New Roman" w:hAnsi="Times New Roman"/>
          <w:sz w:val="14"/>
          <w:szCs w:val="14"/>
          <w:color w:val="auto"/>
        </w:rPr>
      </w:pPr>
    </w:p>
    <w:p>
      <w:pPr>
        <w:jc w:val="both"/>
        <w:ind w:left="1220" w:hanging="483"/>
        <w:spacing w:after="0" w:line="254" w:lineRule="auto"/>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currency swap agreement, cross-currency agreement, forward agreement, floor, cap or collar agreement, futures or options, insurance or other similar agreement or arrangement, or any combination thereof, entered into or guaranteed by the Corporation where the subject matter of the same is currency exchange rates or the price, value or amount payable thereunder is dependent or based upon currency exchange rates or fluctuations in currency exchange rates in effect from time to time; and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0" w:name="page41"/>
    <w:bookmarkEnd w:id="40"/>
    <w:p>
      <w:pPr>
        <w:jc w:val="both"/>
        <w:ind w:left="1220" w:hanging="483"/>
        <w:spacing w:after="0" w:line="250" w:lineRule="auto"/>
        <w:tabs>
          <w:tab w:leader="none" w:pos="1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for the making or taking of Petroleum Substances or electricity, any commodity swap agreement, floor, cap or collar agreement or commodity future or option or other similar agreements or arrangements, or any combination thereof, entered into or guaranteed by the Corporation where the subject matter of the same is Petroleum Substances or electricity or the price, value or amount payable thereunder is dependent or based upon the price of Petroleum Substances or electricity or fluctuations in the price of Petroleum Substances or electricity, each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extent of the net amount due or accruing due by the Corporation thereunder (determined by marking-to-market the same in accordance with their terms).</w:t>
      </w:r>
    </w:p>
    <w:p>
      <w:pPr>
        <w:spacing w:after="0" w:line="164" w:lineRule="exact"/>
        <w:rPr>
          <w:sz w:val="20"/>
          <w:szCs w:val="20"/>
          <w:color w:val="auto"/>
        </w:rPr>
      </w:pPr>
    </w:p>
    <w:p>
      <w:pPr>
        <w:ind w:firstLine="49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Generally Accepted Accounting Principles</w:t>
      </w:r>
      <w:r>
        <w:rPr>
          <w:rFonts w:ascii="Times New Roman" w:cs="Times New Roman" w:eastAsia="Times New Roman" w:hAnsi="Times New Roman"/>
          <w:sz w:val="14"/>
          <w:szCs w:val="14"/>
          <w:color w:val="auto"/>
        </w:rPr>
        <w:t>” means generally accepted accounting principles which are in effect from time to time in Canada, including those accounting principles generally accepted in the United States of America from time to time, which Canadian corporations are permitted to use in Canada pursuant to Canadian law.</w:t>
      </w:r>
    </w:p>
    <w:p>
      <w:pPr>
        <w:spacing w:after="0" w:line="132" w:lineRule="exact"/>
        <w:rPr>
          <w:sz w:val="20"/>
          <w:szCs w:val="20"/>
          <w:color w:val="auto"/>
        </w:rPr>
      </w:pPr>
    </w:p>
    <w:p>
      <w:pPr>
        <w:ind w:firstLine="49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means all items of indebtedness in respect of amounts borrowed and all Purchase Money Obligations which, in accordance with Generally Accepted Accounting Principles, would be recorded in the financial statements as at the date as of which such Indebtedness is to be determined, and in any event including, without duplication:</w:t>
      </w:r>
    </w:p>
    <w:p>
      <w:pPr>
        <w:spacing w:after="0" w:line="134" w:lineRule="exact"/>
        <w:rPr>
          <w:sz w:val="20"/>
          <w:szCs w:val="20"/>
          <w:color w:val="auto"/>
        </w:rPr>
      </w:pPr>
    </w:p>
    <w:p>
      <w:pPr>
        <w:ind w:left="1220" w:hanging="483"/>
        <w:spacing w:after="0"/>
        <w:tabs>
          <w:tab w:leader="none" w:pos="12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secured by any Security Interest existing on property owned subject to such Security Interest, whether or not the obligations secured thereby shall have been assumed; and</w:t>
      </w:r>
    </w:p>
    <w:p>
      <w:pPr>
        <w:spacing w:after="0" w:line="188" w:lineRule="exact"/>
        <w:rPr>
          <w:rFonts w:ascii="Times New Roman" w:cs="Times New Roman" w:eastAsia="Times New Roman" w:hAnsi="Times New Roman"/>
          <w:sz w:val="12"/>
          <w:szCs w:val="12"/>
          <w:color w:val="auto"/>
        </w:rPr>
      </w:pPr>
    </w:p>
    <w:p>
      <w:pPr>
        <w:ind w:left="1220" w:hanging="483"/>
        <w:spacing w:after="0" w:line="264" w:lineRule="auto"/>
        <w:tabs>
          <w:tab w:leader="none" w:pos="1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indemnities, endorsements (other than endorsements for collection in the ordinary course of business) or other contingent liabilities in respect of obligations of another person for indebtedness of that other person in respect of any amounts borrowed by them.</w:t>
      </w:r>
    </w:p>
    <w:p>
      <w:pPr>
        <w:spacing w:after="0" w:line="134"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Non-Recourse Assets</w:t>
      </w:r>
      <w:r>
        <w:rPr>
          <w:rFonts w:ascii="Times New Roman" w:cs="Times New Roman" w:eastAsia="Times New Roman" w:hAnsi="Times New Roman"/>
          <w:sz w:val="14"/>
          <w:szCs w:val="14"/>
          <w:color w:val="auto"/>
        </w:rPr>
        <w:t>” means the assets created, developed, constructed or acquired with or in respect of which Non-Recourse Debt has been incurred and any and all receivables, inventory, equipment, chattel paper, intangibles and other rights or collateral arising from or connected with the assets created, developed, constructed or acquired and to which recourse of the lender of such Non-Recourse Debt (or any agent, trustee, receiver or other person acting on behalf of such lender) in respect of such indebtedness is limited in all circumstances (other than in respect of false or misleading representations or warranties).</w:t>
      </w:r>
    </w:p>
    <w:p>
      <w:pPr>
        <w:spacing w:after="0" w:line="14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Non-Recourse Debt</w:t>
      </w:r>
      <w:r>
        <w:rPr>
          <w:rFonts w:ascii="Times New Roman" w:cs="Times New Roman" w:eastAsia="Times New Roman" w:hAnsi="Times New Roman"/>
          <w:sz w:val="14"/>
          <w:szCs w:val="14"/>
          <w:color w:val="auto"/>
        </w:rPr>
        <w:t>” means any Indebtedness incurred to finance the creation, development, construction or acquisition of assets and any increases in or extensions, renewals or refundings of any such Indebtedness, provided that the recourse of the lender thereof or any agent, trustee, receiver or other person acting on behalf of the lender in respect of such Indebtedness or any judgment in respect thereof is limited in all circumstances (other than in respect of false or misleading representations or warranties) to the assets created, developed, constructed or acquired in respect of which such Indebtedness has been incurred and to any receivables, inventory, equipment, chattel paper, intangibles and other rights or collateral connected with the assets created, developed, constructed or acquired and to which the lender has recourse.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41" w:name="page42"/>
    <w:bookmarkEnd w:id="41"/>
    <w:p>
      <w:pPr>
        <w:jc w:val="both"/>
        <w:ind w:firstLine="49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Petroleum Substances</w:t>
      </w:r>
      <w:r>
        <w:rPr>
          <w:rFonts w:ascii="Times New Roman" w:cs="Times New Roman" w:eastAsia="Times New Roman" w:hAnsi="Times New Roman"/>
          <w:sz w:val="14"/>
          <w:szCs w:val="14"/>
          <w:color w:val="auto"/>
        </w:rPr>
        <w:t>” means crude oil, crude bitumen, synthetic crude oil, petroleum, natural gas, natural gas liquids, related hydrocarbons and any and all other substances, whether liquid, solid or gaseous, whether hydrocarbons or not, produced or producible in association with any of the foregoing, including hydrogen sulphide and sulphur.</w:t>
      </w:r>
    </w:p>
    <w:p>
      <w:pPr>
        <w:spacing w:after="0" w:line="132"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Purchase Money Obligation</w:t>
      </w:r>
      <w:r>
        <w:rPr>
          <w:rFonts w:ascii="Times New Roman" w:cs="Times New Roman" w:eastAsia="Times New Roman" w:hAnsi="Times New Roman"/>
          <w:sz w:val="14"/>
          <w:szCs w:val="14"/>
          <w:color w:val="auto"/>
        </w:rPr>
        <w:t>” means any monetary obligation created or assumed as part of the purchase price of real or tangible personal property, whether or not secured, any extensions, renewals, or refundings of any such obligation, provided that the principal amount of such obligation outstanding on the date of such extension, renewal or refunding is not increased and further provided that any security given in respect of such obligation shall not extend to any property other than the property acquired in connection with which such obligation was created or assumed and fixed improvements, if any, erected or constructed thereon.</w:t>
      </w:r>
    </w:p>
    <w:p>
      <w:pPr>
        <w:spacing w:after="0" w:line="144"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Security Interest</w:t>
      </w:r>
      <w:r>
        <w:rPr>
          <w:rFonts w:ascii="Times New Roman" w:cs="Times New Roman" w:eastAsia="Times New Roman" w:hAnsi="Times New Roman"/>
          <w:sz w:val="14"/>
          <w:szCs w:val="14"/>
          <w:color w:val="auto"/>
        </w:rPr>
        <w:t>” means any security by way of assignment, mortgage, charge, pledge, lien, encumbrance, title retention agreement or other security interest whatsoever, howsoever created or arising, whether absolute or contingent, fixed or floating, perfected or not.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MATERIAL INCOME TAX CONSIDERATIONS</w:t>
      </w:r>
    </w:p>
    <w:p>
      <w:pPr>
        <w:spacing w:after="0" w:line="168" w:lineRule="exact"/>
        <w:rPr>
          <w:sz w:val="20"/>
          <w:szCs w:val="20"/>
          <w:color w:val="auto"/>
        </w:rPr>
      </w:pPr>
    </w:p>
    <w:p>
      <w:pPr>
        <w:jc w:val="both"/>
        <w:ind w:firstLine="490"/>
        <w:spacing w:after="0" w:line="318" w:lineRule="auto"/>
        <w:rPr>
          <w:sz w:val="20"/>
          <w:szCs w:val="20"/>
          <w:color w:val="auto"/>
        </w:rPr>
      </w:pPr>
      <w:r>
        <w:rPr>
          <w:rFonts w:ascii="Times New Roman" w:cs="Times New Roman" w:eastAsia="Times New Roman" w:hAnsi="Times New Roman"/>
          <w:sz w:val="12"/>
          <w:szCs w:val="12"/>
          <w:i w:val="1"/>
          <w:iCs w:val="1"/>
          <w:color w:val="auto"/>
        </w:rPr>
        <w:t>Each of the summaries under this section “Material Income Tax Considerations” is of a general nature only and is not intended to be, and should not be construed to be, legal or tax advice to any particular holder, and no representation is made with respect to the United States federal tax consequences or Canadian tax consequences to any particular holder. Accordingly, prospective purchasers are urged to consult their own tax advisors with respect to the United States federal tax consequences or Canadian tax consequences relevant to them, having regard to their particular circumstances.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7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This section describes the material United States federal income tax consequences of owning and disposing of the Notes we are offering. It applies only to holders who acquire Notes of a series in the offering at the offering price for the Notes of that series and who hold their Notes as capital assets for United States federal income tax purposes. This section does not apply to members of a class of holders subject to special rules, such as a broker-dealer in securities, commodities, or currencies, a governmental organization, a trader in securities that elects to use a mark-to-market method of accounting, a bank, thrift or other financial institution, a life insurance company, a tax-exempt organization, a real estate investment trust, a regulated investment company, a foreign person or entity, an insurance company, a person that owns Notes that are a hedge or that are hedged against interest rate risks, a person that owns Notes as part of a “straddle”, “constructive sale”, “hedge” or “conversion transaction” for United States federal income tax purposes, a person that purchases or sells Notes as part of a wash sale for United States federal income tax purposes, a tax deferred or other retirement account, a person holding Notes that are a hedge or that are hedged against interest rate risks, a partnership, S corporation or other pass-through entity, or a person whose functional currency for tax purposes is not the United States dollar. This section addresses only certain U.S. federal income tax consequences and does not address any state, local or non-U.S. tax consequences, or any tax consequences arising under the Medicare contribution tax on net investment income or the estate, gift or alternative minimum tax provisions of the Internal Revenue Code of 1986, as amended (the “Code”). If Notes of a series are purchased at a price other than the offering price for the Notes of that series, the amortizable bond premium or market discount rules may also apply. Holders should consult their own tax advisor regarding this possibility.</w:t>
      </w:r>
    </w:p>
    <w:p>
      <w:pPr>
        <w:spacing w:after="0" w:line="153"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This section is based on the Code, its legislative history, final, temporary and proposed regulations thereunder (“Treasury Regulations”), published rulings and court decisions, all as currently in effect on the date hereof. These laws are subject to change, possibly on a retroactive basis, and any such change could affect the continuing validity of this discussion. This discussion is not binding on the Internal Revenue Service (the “Service”), and we have not sought and will not seek any rulings from the Service regarding the matters discussed below. There can be no assurance that the Service will not take positions that are different from those discussed below or that a United States court will not sustain such a challenge.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All holders are urged to consult their own tax advisor concerning the consequences of owning these Notes in such holder’s particular circumstances under the Code and the laws of any other taxing jurisdiction.</w:t>
      </w:r>
    </w:p>
    <w:p>
      <w:pPr>
        <w:spacing w:after="0" w:line="13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This section applies only to United States holders. A United States holder is a beneficial owner of a Note that is (i) an individual who is a citizen or resident of the United States, as determined for United States federal income tax purposes, (ii) a corporation (or other entity treated as a corporation for United States federal income tax purposes) created or organized under the laws of the United States, any state thereof, or the District of Columbia, (iii) an estate whose income is includible in gross income for United States federal income tax regardless of its source or (iv) a trust, if (a) a United States court can exercise primary supervision over the trust’s administration and one or more United States persons are authorized to control all substantial decisions of the trust or (b) it has a valid election in effect under applicable Treasury Regulations to be treated as a United States person.</w:t>
      </w:r>
    </w:p>
    <w:p>
      <w:pPr>
        <w:spacing w:after="0" w:line="149"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If a partnership (or other entity, organized within or without the United States, treated as a partnership for United States federal income tax purposes) holds Notes, the tax treatment of a partner as beneficial owner of Notes generally will depend on the status of the partner and the activities of the partnership. A partner in a partnership (or other entity treated as a partnership for United States federal income tax purposes) holding the Notes is urged to consult its tax advisor with regard to the United States federal income tax treatment of an investment in the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United States holders will be taxed on interest on the Notes as ordinary income at the time the interest is received or when it accrues, depending on the holder’s method of accounting for United States federal income tax purposes.</w:t>
      </w:r>
    </w:p>
    <w:p>
      <w:pPr>
        <w:spacing w:after="0" w:line="13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Interest paid by us on the Notes is income from sources outside the United States for purposes of the rules regarding the foreign tax credit allowable to a United States holder and will generally be “passive” category income for purposes of computing the foreign tax credit. The rules governing the United States foreign tax credit are complex, and you are urged to consult your tax advisor regarding the availability of claiming a United States foreign tax credit under your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Sale and Retirement of the Notes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 United States holder’s tax basis in a Note generally will be its cost. A United States holder will generally recognize capital gain or loss on the sale or retirement of a Note equal to the difference between the amount realized on the sale or retirement, excluding any amounts attributable to accrued but unpaid interest (which will be taxable as ordinary interest income to the extent not previously included in income), and such holder’s tax basis in the Note. Capital gain of a noncorporate United States holder is generally taxed at preferential rates where the holder has a holding period greater than one year.</w:t>
      </w:r>
    </w:p>
    <w:p>
      <w:pPr>
        <w:spacing w:after="0" w:line="14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Gain or loss on the sale or retirement of a Note generally will be treated as United States source income or loss for United States federal income tax purposes and for purposes of computing the United States foreign tax credit allowable to you, unless such gain or loss is attributable to an office or other fixed place of business outside of the United States and certain other conditions are met.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For noncorporate United States holders, information reporting requirements, on Internal Revenue Service Form 1099, generally will apply to payments of principal and interest on a Note within the United States, including payments made by wire transfer from outside the United States to an account maintained in the United States, and the payment of the proceeds from the sale of a Note effected at a United States office of a broker. Additionally, backup withholding may apply to such payments if a noncorporate United States holder fails to provide an accurate taxpayer identification number, (in the case of interest payments) is notified by the Service that the holder has failed to report all interest and dividends required to be shown on the holder’s United States federal income tax returns, or, in certain circumstances, fails to comply with applicable certification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with Respect to Foreign Financial Assets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Owners of “specified foreign financial assets” with an aggregate value in excess of $50,000 (and in certain circumstances, a higher threshold) may be required to file an information report with respect to such assets with their tax returns.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United States holders that are individuals are urged to consult their tax advisor regarding the application of this reporting requirement to their ownership of the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Canadian Income Tax Considerations</w:t>
      </w:r>
    </w:p>
    <w:p>
      <w:pPr>
        <w:spacing w:after="0" w:line="170" w:lineRule="exact"/>
        <w:rPr>
          <w:sz w:val="20"/>
          <w:szCs w:val="20"/>
          <w:color w:val="auto"/>
        </w:rPr>
      </w:pPr>
    </w:p>
    <w:p>
      <w:pPr>
        <w:jc w:val="both"/>
        <w:ind w:firstLine="490"/>
        <w:spacing w:after="0" w:line="291" w:lineRule="auto"/>
        <w:rPr>
          <w:sz w:val="20"/>
          <w:szCs w:val="20"/>
          <w:color w:val="auto"/>
        </w:rPr>
      </w:pPr>
      <w:r>
        <w:rPr>
          <w:rFonts w:ascii="Times New Roman" w:cs="Times New Roman" w:eastAsia="Times New Roman" w:hAnsi="Times New Roman"/>
          <w:sz w:val="12"/>
          <w:szCs w:val="12"/>
          <w:color w:val="auto"/>
        </w:rPr>
        <w:t>The following is, as of the date hereof, a general summary of the principal Canadian federal income tax considerations under the Tax Act applicable to a purchaser of Notes as beneficial owner pursuant to the prospectus and this prospectus supplement who, at all relevant times, for purposes of the Tax Act and any applicable tax treaty (i) is not resident or deemed to be resident in Canada; (ii) deals at arm’s length with the Corporation; (iii) deals at arm’s length with any transferee who is resident or deemed to be resident in Canada and to whom the purchaser assigns or otherwise transfers the Note;</w:t>
      </w:r>
    </w:p>
    <w:p>
      <w:pPr>
        <w:jc w:val="both"/>
        <w:ind w:firstLine="2"/>
        <w:spacing w:after="0" w:line="289" w:lineRule="auto"/>
        <w:tabs>
          <w:tab w:leader="none" w:pos="233"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is not a “specified shareholder” (as defined in subsection 18(5) of the Tax Act) of the Corporation or a person that does not deal at arm’s length with a specified shareholder of the Corporation; (v) is not an entity in respect of which the Corporation is a “specified entity” as defined in subsection 18.4(1) of the Tax Act and is not a “specified entity” in respect of any transferee resident (or deemed to be resident) in Canada to whom the purchaser disposes of the Notes; (vi) is entitled to all payments under the Notes; and (vii) does not use or hold and is not deemed to use or hold a Note in carrying on business in Canada (a “Non-Resident Holder”). This summary is based on the current provisions of the Tax Act, and counsel’s understanding of the current published administrative policies of the CRA in effect as of the date hereof. On January 29, 2026, the Department of Finance (Canada) released proposals to the </w:t>
      </w:r>
      <w:r>
        <w:rPr>
          <w:rFonts w:ascii="Times New Roman" w:cs="Times New Roman" w:eastAsia="Times New Roman" w:hAnsi="Times New Roman"/>
          <w:sz w:val="12"/>
          <w:szCs w:val="12"/>
          <w:i w:val="1"/>
          <w:iCs w:val="1"/>
          <w:color w:val="auto"/>
        </w:rPr>
        <w:t>Income Tax Act</w:t>
      </w:r>
      <w:r>
        <w:rPr>
          <w:rFonts w:ascii="Times New Roman" w:cs="Times New Roman" w:eastAsia="Times New Roman" w:hAnsi="Times New Roman"/>
          <w:sz w:val="12"/>
          <w:szCs w:val="12"/>
          <w:color w:val="auto"/>
        </w:rPr>
        <w:t xml:space="preserve"> (Canada) (the “January 29 Tax Proposals”) and the regulations thereunder (collectively, the “Tax Act”) that would amend certain “hybrid mismatch” provisions of the Tax Act and introduce other consequential amendments. This summary does not take into account the January 29 Tax Proposals, but otherwise takes into account the proposed amendments to the Tax Act publicly announced prior to the date of this prospectus supplement (the “Proposed Amendments”). This summary is not exhaustive of all possible Canadian federal income tax considerations applicable to a Non-Resident Holder and does not anticipate any changes in law or administrative practice, nor does it take into account provincial, territorial or foreign tax considerations, which may differ significantly from those discussed herein. There can be no assurance that the Proposed Amendments will be enacted as proposed or at all. Special rules, which are not discussed below, may apply to a Non-Resident Holder that is an insurer which carries on an insurance business in Canada and elsewhere. This summary assumes that no amount paid or payable to a Non-Resident Holder will be the deduction component of a “hybrid mismatch arrangement” under which the payment arises within the meaning of paragraph 18.4(3)(b) of the Tax Act.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This summary is of a general nature only and is not, and is not intended to be, and should not be construed to be, legal or tax advice to any particular Non-Resident Holder and no representation with respect to the income tax consequences to any particular Non-Resident Holder is made. Prospective purchasers of Notes should consult their own tax advisors with respect to the tax consequences of acquiring, holding and disposing of Notes having regard to their own particular circumstances.</w:t>
      </w:r>
    </w:p>
    <w:p>
      <w:pPr>
        <w:spacing w:after="0" w:line="14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Under the Tax Act, the payment of interest, principal or premium, if any, to a Non-Resident Holder of a Note by the Corporation will be exempt from Canadian non-resident withholding tax. No other taxes on income or capital gains will be payable under the Tax Act in respect of the acquisition, holding, redemption or disposition of a Note by a Non-Resident Holder, or the receipt of interest, principal or premium thereon by a Non-Resident Holder solely as a consequence of such acquisition, holding, redemption or disposition of a Note.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Barclays Capital Inc., BofA Securities, Inc., Citigroup Global Markets Inc. and J.P. Morgan Securities LLC are acting as representatives of the underwriters named below.</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Subject to the terms and conditions stated in the underwriting agreement dated the date of this prospectus supplement, each underwriter named below has severally and not jointly agreed to purchase, and we have agreed to sell to that underwriter, the principal amount of Notes set forth opposite such underwriter’s name.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Principal Amount</w:t>
            </w:r>
          </w:p>
        </w:tc>
      </w:tr>
      <w:tr>
        <w:trPr>
          <w:trHeight w:val="179"/>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of 2031 Notes</w:t>
            </w:r>
          </w:p>
        </w:tc>
        <w:tc>
          <w:tcPr>
            <w:tcW w:w="28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of 2036 Notes</w:t>
            </w:r>
          </w:p>
        </w:tc>
      </w:tr>
      <w:tr>
        <w:trPr>
          <w:trHeight w:val="154"/>
        </w:trPr>
        <w:tc>
          <w:tcPr>
            <w:tcW w:w="78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Barclays Capital Inc.</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6"/>
              </w:rPr>
              <w:t>US$</w:t>
            </w:r>
          </w:p>
        </w:tc>
        <w:tc>
          <w:tcPr>
            <w:tcW w:w="1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100,000,000</w:t>
            </w:r>
          </w:p>
        </w:tc>
        <w:tc>
          <w:tcPr>
            <w:tcW w:w="3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1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100,000,000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100,000,000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70,000,000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70,000,000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Agricole Securities (USA) Inc.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SG Americas Securities,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47,500,000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Roberts &amp; Ryan, Inc.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r>
      <w:tr>
        <w:trPr>
          <w:trHeight w:val="16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ICBC Standard Bank Plc</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5,000,000</w:t>
            </w:r>
          </w:p>
        </w:tc>
        <w:tc>
          <w:tcPr>
            <w:tcW w:w="2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r>
      <w:tr>
        <w:trPr>
          <w:trHeight w:val="16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Loop Capital Markets LLC</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5,000,000</w:t>
            </w:r>
          </w:p>
        </w:tc>
        <w:tc>
          <w:tcPr>
            <w:tcW w:w="2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r>
      <w:tr>
        <w:trPr>
          <w:trHeight w:val="174"/>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Samuel A. Ramirez &amp; Company, Inc.</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5,000,000</w:t>
            </w:r>
          </w:p>
        </w:tc>
        <w:tc>
          <w:tcPr>
            <w:tcW w:w="2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r>
      <w:tr>
        <w:trPr>
          <w:trHeight w:val="164"/>
        </w:trPr>
        <w:tc>
          <w:tcPr>
            <w:tcW w:w="7880" w:type="dxa"/>
            <w:vAlign w:val="bottom"/>
            <w:tcBorders>
              <w:top w:val="single" w:sz="8" w:color="CCEEFF"/>
              <w:bottom w:val="single" w:sz="8" w:color="CCEEFF"/>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6"/>
              </w:rPr>
              <w:t>US$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 The underwriters reserve the right to cancel, reject or modify an order of Notes in whole or in part.</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underwriters propose to offer the Notes directly to the public at the public offering price set forth on the cover page of this prospectus supplement and may offer the Notes to dealers at the public offering price less a concession not to exceed 0.350% of the principal amount of the 2031 Notes and 0.400% of the principal amount of the 2036 Notes. The underwriters may allow, and dealers may reallow, a concession not to exceed 0.250% of the principal amount of the 2031 Notes and 0.250% of the principal amount of the 2036 Notes. After the initial offering of the Notes to the public, the representatives may change the public offering price, concessions and other selling terms.</w:t>
      </w:r>
    </w:p>
    <w:p>
      <w:pPr>
        <w:spacing w:after="0" w:line="14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connection with this offering, each of Barclays Capital Inc., BofA Securities, Inc., Citigroup Global Markets Inc. and J.P. Morgan Securities LLC, on behalf of the underwriters, may purchase and sell Notes in the open market. These transactions may include over-allotment, syndicate covering transactions and stabilizing transactions. Over-allotment involves syndicate sales of the Notes in excess of the principal amount of the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7" w:name="page48"/>
    <w:bookmarkEnd w:id="47"/>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There will be no obligation on Barclays Capital Inc., BofA Securities, Inc., Citigroup Global Markets Inc. and J.P. Morgan Securities LLC to engage in these activities.</w:t>
      </w:r>
    </w:p>
    <w:p>
      <w:pPr>
        <w:spacing w:after="0" w:line="14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Each series of the Notes is a new issue of securities with no established trading market. The Notes will not be listed on any automated dealer quotation system, and we do not intend to apply for listing of the Notes on any securities exchange. We have been advised that the underwriters currently intend to make a market in the Notes. However, they are not obligated to do so, and they may discontinue any market-making activities with respect to the Notes at any time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shows the underwriting discounts and commissions that we will pay the underwriters in connection with this offering (expressed as a percentage of the principal amount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3"/>
        </w:trPr>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Paid by</w:t>
            </w:r>
          </w:p>
        </w:tc>
      </w:tr>
      <w:tr>
        <w:trPr>
          <w:trHeight w:val="179"/>
        </w:trPr>
        <w:tc>
          <w:tcPr>
            <w:tcW w:w="640" w:type="dxa"/>
            <w:vAlign w:val="bottom"/>
          </w:tcPr>
          <w:p>
            <w:pPr>
              <w:spacing w:after="0"/>
              <w:rPr>
                <w:sz w:val="15"/>
                <w:szCs w:val="15"/>
                <w:color w:val="auto"/>
              </w:rPr>
            </w:pPr>
          </w:p>
        </w:tc>
        <w:tc>
          <w:tcPr>
            <w:tcW w:w="79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Enbridge</w:t>
            </w:r>
          </w:p>
        </w:tc>
        <w:tc>
          <w:tcPr>
            <w:tcW w:w="120" w:type="dxa"/>
            <w:vAlign w:val="bottom"/>
            <w:tcBorders>
              <w:bottom w:val="single" w:sz="8" w:color="CCEEFF"/>
            </w:tcBorders>
          </w:tcPr>
          <w:p>
            <w:pPr>
              <w:spacing w:after="0"/>
              <w:rPr>
                <w:sz w:val="15"/>
                <w:szCs w:val="15"/>
                <w:color w:val="auto"/>
              </w:rPr>
            </w:pPr>
          </w:p>
        </w:tc>
      </w:tr>
      <w:tr>
        <w:trPr>
          <w:trHeight w:val="154"/>
        </w:trPr>
        <w:tc>
          <w:tcPr>
            <w:tcW w:w="640" w:type="dxa"/>
            <w:vAlign w:val="bottom"/>
          </w:tcPr>
          <w:p>
            <w:pPr>
              <w:spacing w:after="0"/>
              <w:rPr>
                <w:sz w:val="13"/>
                <w:szCs w:val="13"/>
                <w:color w:val="auto"/>
              </w:rPr>
            </w:pPr>
          </w:p>
        </w:tc>
        <w:tc>
          <w:tcPr>
            <w:tcW w:w="79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Per 2031 Note</w:t>
            </w:r>
          </w:p>
        </w:tc>
        <w:tc>
          <w:tcPr>
            <w:tcW w:w="110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0.600%</w:t>
            </w:r>
          </w:p>
        </w:tc>
      </w:tr>
      <w:tr>
        <w:trPr>
          <w:trHeight w:val="175"/>
        </w:trPr>
        <w:tc>
          <w:tcPr>
            <w:tcW w:w="64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Per 2036 Note</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0.650%</w:t>
            </w:r>
          </w:p>
        </w:tc>
      </w:tr>
      <w:tr>
        <w:trPr>
          <w:trHeight w:val="314"/>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estimate that our total expenses for this offering, excluding underwriting discounts and commissions, will be US$3,420,000.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underwriters or their respective affiliates perform and have performed commercial banking, investment banking and advisory services for us from time to time for which they receive and have received customary fees and expenses. The underwriters and their affiliates may, from time to time, engage in transactions with and perform services for us in the ordinary course of their business.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these securities or financial instruments and may hold, or recommend to clients that they acquire, long and/or short positions in these securities and instruments.</w:t>
      </w:r>
    </w:p>
    <w:p>
      <w:pPr>
        <w:spacing w:after="0" w:line="15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As at December 31, 2025, the Corporation had approximately $7 million and US$419 million of outstanding unsecured indebtedness under its unsecured credit facilities. In addition, as at December 31, 2025, approximately $7,295 million and US$3,868 million of the Corporation’s unsecured credit facilities were used as a backstop to support outstanding commercial paper balances. The Corporation is in compliance with the terms of its unsecured credit facilities and there have been no waivers of breaches thereunder. There has been no materially adverse change to the financial position of the Corporation since the indebtedness was incurred. The Corporation may use the net proceeds from this offering to pay down short-term debt, and, as a consequence, net proceeds from this offering may be paid to one or more lenders who are affiliated with the underwriters.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48" w:name="page49"/>
    <w:bookmarkEnd w:id="48"/>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may have outstanding existing indebtedness owing to certain of the underwriters and affiliates of the underwriters, a portion of which we may repay with the net proceeds from this offering. See “Use of Proceeds” in this prospectus supplement. As a result, one or more of the underwriters or their affiliates may receive more than 5% of the net proceeds from this offering in the form of the repayment of existing indebtedness. Accordingly, this offering is being made pursuant to Rule 5121 of the Financial Industry Regulatory Authority, Inc. Pursuant to this rule, the appointment of a qualified independent underwriter is not necessary in connection with this offering, because the conditions of Rule 5121(a)(1)(C) are satisfied.</w:t>
      </w:r>
    </w:p>
    <w:p>
      <w:pPr>
        <w:spacing w:after="0" w:line="146"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Certain of the underwriters are affiliates of banks that are currently lenders to us (the “Lenders”) under credit facilities extended to the Corporation and certain of its subsidiaries (the “Enbridge Credit Facilities”) and, as a result, under applicable Canadian securities legislation, we may be considered to be a connected issuer to those underwriters. We are in compliance with the terms of the Enbridge Credit Facilities and none of the Lenders was involved in the decision to offer the Notes or in the determination of the terms of the distribution of the Notes.</w:t>
      </w:r>
    </w:p>
    <w:p>
      <w:pPr>
        <w:spacing w:after="0" w:line="14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If any of the underwriters or their affiliates has a lending relationship with us or our affiliates, certain of those underwriters or their affiliates routinely hedge, certain other of those underwriters or their affiliates have hedged and are likely in the future to hedge, and certain other of those underwriters or their affiliates may hedge, their credit exposure to us consistent with their customary risk management policies. Typically, these underwriters and their affiliates would hedge that exposure by entering into transactions which consist of either the purchase of credit default swaps or the creation of short positions in our affiliates’ securities, including potentially the Notes offered hereby. Any of these credit default swaps or short positions could adversely affect future trading prices of the Notes offered hereby.</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prospectus supplement in electronic format may be made available on the websites maintained by one or more of the underwriters.</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U.S. Securities Act, or to contribute to payments the underwriters may be required to make because of any of those liabilities.</w:t>
      </w:r>
    </w:p>
    <w:p>
      <w:pPr>
        <w:spacing w:after="0" w:line="136"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0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We expect that delivery of the Notes will be made against payment therefor on or about the date specified on the cover page of this prospectus supplement, which will be the third business day following the date of pricing of the Notes (this settlement cycle being herein referred to as “T+3”). As of the date hereof, under Rule 15c6-1 of the U.S. Exchange Act, trades in the secondary market generally are required to settle in one business day, unless the parties to any such trade expressly agree otherwise. Accordingly, purchasers who wish to trade Notes more than one business day prior to the scheduled settlement date will be required, by virtue of the fact that the Notes initially will settle in T+3, to specify an alternate settlement cycle at the time of any such trade to prevent a failed settlement. Purchasers of the Notes who wish to make such trades should consult their own advisor.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49" w:name="page50"/>
    <w:bookmarkEnd w:id="49"/>
    <w:p>
      <w:pPr>
        <w:ind w:left="500"/>
        <w:spacing w:after="0"/>
        <w:rPr>
          <w:sz w:val="20"/>
          <w:szCs w:val="20"/>
          <w:color w:val="auto"/>
        </w:rPr>
      </w:pPr>
      <w:r>
        <w:rPr>
          <w:rFonts w:ascii="Times New Roman" w:cs="Times New Roman" w:eastAsia="Times New Roman" w:hAnsi="Times New Roman"/>
          <w:sz w:val="14"/>
          <w:szCs w:val="14"/>
          <w:color w:val="auto"/>
        </w:rPr>
        <w:t>The Notes are not being offered in and may not be sold to any persons in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17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is not a prospectus for the purposes of the Prospectus Regulation.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Public Offers and Admissions to Trading Regulations 2024 (the “POATRs”). Consequently, no key information document required by Regulation (EU) No 1286/2014 as it forms part of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POATRs from the prohibition on public offers.</w:t>
      </w:r>
    </w:p>
    <w:p>
      <w:pPr>
        <w:spacing w:after="0" w:line="147"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12"/>
          <w:szCs w:val="12"/>
          <w:color w:val="auto"/>
        </w:rPr>
        <w:t>In the UK, 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or (ii) are persons falling within Article 49(2)</w:t>
      </w:r>
    </w:p>
    <w:p>
      <w:pPr>
        <w:spacing w:after="0" w:line="1" w:lineRule="exact"/>
        <w:rPr>
          <w:sz w:val="20"/>
          <w:szCs w:val="20"/>
          <w:color w:val="auto"/>
        </w:rPr>
      </w:pPr>
    </w:p>
    <w:p>
      <w:pPr>
        <w:jc w:val="both"/>
        <w:ind w:firstLine="2"/>
        <w:spacing w:after="0" w:line="245" w:lineRule="auto"/>
        <w:tabs>
          <w:tab w:leader="none" w:pos="19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 (“high net worth companies, unincorporated associations etc.”) of the Financial Promotion Order (all such persons together being referred to as “relevant persons”). In the UK, this prospectus supplement is directed only at relevant persons and must not be acted on or relied on by persons who are not relevant persons. In the UK, any investment or investment activity to which this prospectus supplement relates is available only to relevant persons and will be engaged in only with relevant persons.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Neither this prospectus supplement nor the accompanying prospectus, nor any other materials relating to the Notes, has been or will be lodged or registered as a prospectus with the Monetary Authority of Singapore under the Securities and Futures Act, Chapter 289 of Singapore (the “SFA”). Accordingly, this prospectus supplement, the accompanying prospectus and any other document or material issued in connection with the offer or sale, or invitation for subscription or purchase, of the Notes may not be issued, circulated or distributed, nor may the Notes be offered or sold, or be made the subject of an invitation for subscription or purchase, whether directly or indirectly, to persons in Singapore other than (i) to an institutional investor (as defined in Section 4A of the SFA) pursuant to Section 274 of the SFA, (ii) to an accredited investor as defined in Section 4A of the SFA or to a relevant person (as defined in Section 275(2) of the SFA) pursuant to Section 275(1) of the SFA, or any person pursuant to an offer referred to in Section 275(1A) of the SFA, and in accordance with the applicable conditions specified in Section 275 of the SFA or (iii) otherwise pursuant to, and in accordance with the conditions of, any other applicable provision of the SFA, in each case subject to compliance with the conditions set forth in the SFA.</w:t>
      </w:r>
    </w:p>
    <w:p>
      <w:pPr>
        <w:spacing w:after="0" w:line="147" w:lineRule="exact"/>
        <w:rPr>
          <w:sz w:val="20"/>
          <w:szCs w:val="20"/>
          <w:color w:val="auto"/>
        </w:rPr>
      </w:pPr>
    </w:p>
    <w:p>
      <w:pPr>
        <w:jc w:val="both"/>
        <w:ind w:firstLine="490"/>
        <w:spacing w:after="0" w:line="295" w:lineRule="auto"/>
        <w:rPr>
          <w:sz w:val="20"/>
          <w:szCs w:val="20"/>
          <w:color w:val="auto"/>
        </w:rPr>
      </w:pPr>
      <w:r>
        <w:rPr>
          <w:rFonts w:ascii="Times New Roman" w:cs="Times New Roman" w:eastAsia="Times New Roman" w:hAnsi="Times New Roman"/>
          <w:sz w:val="12"/>
          <w:szCs w:val="12"/>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accredited investor, the securities or securities-based derivative contracts (each term as defined in Section 2(1) of the SFA) of that corporation or the beneficiaries’ rights and interest (however described) in that trust shall not be transferred within six months after that corporation or that trust has subscribed or purchased the Notes under an offer made pursuant to Section 275 of the SFA except: (1) to an institutional investor or an accredited investor or to a relevant person,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1" w:name="page52"/>
    <w:bookmarkEnd w:id="51"/>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Singapore Securities and Futures Act Product Classification — 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17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No placement document, offering memorandum,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2"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Dubai</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Abu Dhabi Global Market</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Republic of Italy</w:t>
      </w:r>
    </w:p>
    <w:p>
      <w:pPr>
        <w:spacing w:after="0" w:line="168"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color w:val="auto"/>
        </w:rPr>
        <w:t xml:space="preserve">The offering of the Notes has not been registered with the </w:t>
      </w:r>
      <w:r>
        <w:rPr>
          <w:rFonts w:ascii="Times New Roman" w:cs="Times New Roman" w:eastAsia="Times New Roman" w:hAnsi="Times New Roman"/>
          <w:sz w:val="14"/>
          <w:szCs w:val="14"/>
          <w:i w:val="1"/>
          <w:iCs w:val="1"/>
          <w:color w:val="auto"/>
        </w:rPr>
        <w:t>Commissione Nazionale per le Società e la Borsa</w:t>
      </w:r>
      <w:r>
        <w:rPr>
          <w:rFonts w:ascii="Times New Roman" w:cs="Times New Roman" w:eastAsia="Times New Roman" w:hAnsi="Times New Roman"/>
          <w:sz w:val="14"/>
          <w:szCs w:val="14"/>
          <w:color w:val="auto"/>
        </w:rPr>
        <w:t xml:space="preserve"> (CONSOB) pursuant to Italian securities legislation and, accordingly, no Notes may be offered, sold or delivered, nor may copies of this prospectus supplement or of any other document relating to the Notes be distributed in the Republic of Italy, except:</w:t>
      </w:r>
    </w:p>
    <w:p>
      <w:pPr>
        <w:spacing w:after="0" w:line="132" w:lineRule="exact"/>
        <w:rPr>
          <w:sz w:val="20"/>
          <w:szCs w:val="20"/>
          <w:color w:val="auto"/>
        </w:rPr>
      </w:pPr>
    </w:p>
    <w:p>
      <w:pPr>
        <w:ind w:left="740" w:hanging="248"/>
        <w:spacing w:after="0" w:line="267" w:lineRule="auto"/>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investitori qualificati</w:t>
      </w:r>
      <w:r>
        <w:rPr>
          <w:rFonts w:ascii="Times New Roman" w:cs="Times New Roman" w:eastAsia="Times New Roman" w:hAnsi="Times New Roman"/>
          <w:sz w:val="14"/>
          <w:szCs w:val="14"/>
          <w:color w:val="auto"/>
        </w:rPr>
        <w:t>), as defined pursuant to Article 2 of the Prospectus Regulation and any applicable provision of Legislative Decree No. 58 of 24 February, 1998, as amended (the Financial Services Act) and Italian CONSOB regulations; or</w:t>
      </w:r>
    </w:p>
    <w:p>
      <w:pPr>
        <w:spacing w:after="0" w:line="133" w:lineRule="exact"/>
        <w:rPr>
          <w:rFonts w:ascii="Times New Roman" w:cs="Times New Roman" w:eastAsia="Times New Roman" w:hAnsi="Times New Roman"/>
          <w:sz w:val="14"/>
          <w:szCs w:val="14"/>
          <w:color w:val="auto"/>
        </w:rPr>
      </w:pPr>
    </w:p>
    <w:p>
      <w:pPr>
        <w:ind w:left="740" w:hanging="248"/>
        <w:spacing w:after="0" w:line="264" w:lineRule="auto"/>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circumstances which are exempted from the rules on public offerings pursuant to Article 1 of the Prospectus Regulation, Article 34-ter of Regulation No. 11971 of 14 May 1999, as amended from time to time (Regulation No. 11971), and the applicable Italian laws.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offer, sale or delivery of the Notes or distribution of copies of this prospectus supplement or any other document relating to the Notes in the Republic of Italy under (a) or (b) above must:</w:t>
      </w:r>
    </w:p>
    <w:p>
      <w:pPr>
        <w:spacing w:after="0" w:line="166" w:lineRule="exact"/>
        <w:rPr>
          <w:sz w:val="20"/>
          <w:szCs w:val="20"/>
          <w:color w:val="auto"/>
        </w:rPr>
      </w:pPr>
    </w:p>
    <w:p>
      <w:pPr>
        <w:ind w:left="740" w:hanging="248"/>
        <w:spacing w:after="0" w:line="264" w:lineRule="auto"/>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made by an investment firm, bank or financial intermediary permitted to conduct such activities in the Republic of Italy in accordance with the Financial Services Act, CONSOB Regulation No. 20307 of 15 February, 2018 (as amended from time to time) and Legislative Decree No. 385 of 1 September 1993, as amended (the Banking Act); and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3" w:name="page54"/>
    <w:bookmarkEnd w:id="53"/>
    <w:p>
      <w:pPr>
        <w:ind w:left="740" w:hanging="248"/>
        <w:spacing w:after="0" w:line="264"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any other applicable laws and regulations or requirement imposed by CONSOB, the Bank of Italy (including the reporting requirements, where applicable, pursuant to Article 129 of the Banking Act, as amended, and the implementing guidelines of the Bank of Italy, as amended from time to time) and/or any other Italian authority.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Korea</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of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Taiwan</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Arab Emirates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does not constitute a public offer of securities in the United Arab Emirates (including the Dubai International Financial Centre and the Abu Dhabi Global Market) and is not intended to be a public offer. This prospectus supplement has not been approved by or filed with the Central Bank of the United Arab Emirates, the Securities and Commodities Authority, the Dubai Financial Services Authority or the Abu Dhabi Global Market.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Germany</w:t>
      </w:r>
    </w:p>
    <w:p>
      <w:pPr>
        <w:spacing w:after="0" w:line="168"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color w:val="auto"/>
        </w:rPr>
        <w:t>Each person who is in possession of this prospectus supplement is aware of the fact that no German sales prospectus (</w:t>
      </w:r>
      <w:r>
        <w:rPr>
          <w:rFonts w:ascii="Times New Roman" w:cs="Times New Roman" w:eastAsia="Times New Roman" w:hAnsi="Times New Roman"/>
          <w:sz w:val="14"/>
          <w:szCs w:val="14"/>
          <w:i w:val="1"/>
          <w:iCs w:val="1"/>
          <w:color w:val="auto"/>
        </w:rPr>
        <w:t>Verkaufsprospekt</w:t>
      </w:r>
      <w:r>
        <w:rPr>
          <w:rFonts w:ascii="Times New Roman" w:cs="Times New Roman" w:eastAsia="Times New Roman" w:hAnsi="Times New Roman"/>
          <w:sz w:val="14"/>
          <w:szCs w:val="14"/>
          <w:color w:val="auto"/>
        </w:rPr>
        <w:t>) within the meaning of the Securities Sales Prospectus Act (</w:t>
      </w:r>
      <w:r>
        <w:rPr>
          <w:rFonts w:ascii="Times New Roman" w:cs="Times New Roman" w:eastAsia="Times New Roman" w:hAnsi="Times New Roman"/>
          <w:sz w:val="14"/>
          <w:szCs w:val="14"/>
          <w:i w:val="1"/>
          <w:iCs w:val="1"/>
          <w:color w:val="auto"/>
        </w:rPr>
        <w:t>Wertpapier-Verkaufsprospektgesetz</w:t>
      </w:r>
      <w:r>
        <w:rPr>
          <w:rFonts w:ascii="Times New Roman" w:cs="Times New Roman" w:eastAsia="Times New Roman" w:hAnsi="Times New Roman"/>
          <w:sz w:val="14"/>
          <w:szCs w:val="14"/>
          <w:color w:val="auto"/>
        </w:rPr>
        <w:t>, or the Act) of the Federal Republic of Germany has been or will be published with respect to the Notes. In particular, each underwriter has advised us that it has not engaged and has agreed that it will not engage in a public offering (</w:t>
      </w:r>
      <w:r>
        <w:rPr>
          <w:rFonts w:ascii="Times New Roman" w:cs="Times New Roman" w:eastAsia="Times New Roman" w:hAnsi="Times New Roman"/>
          <w:sz w:val="14"/>
          <w:szCs w:val="14"/>
          <w:i w:val="1"/>
          <w:iCs w:val="1"/>
          <w:color w:val="auto"/>
        </w:rPr>
        <w:t>offentliches Angebot</w:t>
      </w:r>
      <w:r>
        <w:rPr>
          <w:rFonts w:ascii="Times New Roman" w:cs="Times New Roman" w:eastAsia="Times New Roman" w:hAnsi="Times New Roman"/>
          <w:sz w:val="14"/>
          <w:szCs w:val="14"/>
          <w:color w:val="auto"/>
        </w:rPr>
        <w:t>) within the meaning of the Act with respect to any of the Notes otherwise than in accordance with the Act and all other applicable legal and regulatory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France</w:t>
      </w:r>
    </w:p>
    <w:p>
      <w:pPr>
        <w:spacing w:after="0" w:line="170"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142" w:lineRule="exact"/>
        <w:rPr>
          <w:sz w:val="20"/>
          <w:szCs w:val="20"/>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in connection with any offer for subscription or sale of the Notes to the public in France.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166" w:lineRule="exact"/>
        <w:rPr>
          <w:sz w:val="20"/>
          <w:szCs w:val="20"/>
          <w:color w:val="auto"/>
        </w:rPr>
      </w:pPr>
    </w:p>
    <w:p>
      <w:pPr>
        <w:ind w:left="500" w:hanging="253"/>
        <w:spacing w:after="0" w:line="264"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transaction that, in accordance with article L.411-2-II-1o-or-2o-or 3o of the French Code monétaire et financier and article 211-2 of the General Regulations (Règlement Général) of the Autorité des Marchés Financiers, does not constitute a public offer (appel public à l’épargne).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may be resold directly or indirectly, only in compliance with articles L.411-1, L.411-2, L.412-1 and L.621-8 through L.621-8-3 of the French Code monétaire et financier.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Ireland</w:t>
      </w:r>
    </w:p>
    <w:p>
      <w:pPr>
        <w:spacing w:after="0" w:line="170" w:lineRule="exact"/>
        <w:rPr>
          <w:sz w:val="20"/>
          <w:szCs w:val="20"/>
          <w:color w:val="auto"/>
        </w:rPr>
      </w:pPr>
    </w:p>
    <w:p>
      <w:pPr>
        <w:jc w:val="both"/>
        <w:ind w:firstLine="490"/>
        <w:spacing w:after="0" w:line="291" w:lineRule="auto"/>
        <w:rPr>
          <w:sz w:val="20"/>
          <w:szCs w:val="20"/>
          <w:color w:val="auto"/>
        </w:rPr>
      </w:pPr>
      <w:r>
        <w:rPr>
          <w:rFonts w:ascii="Times New Roman" w:cs="Times New Roman" w:eastAsia="Times New Roman" w:hAnsi="Times New Roman"/>
          <w:sz w:val="12"/>
          <w:szCs w:val="12"/>
          <w:color w:val="auto"/>
        </w:rPr>
        <w:t>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w:t>
      </w:r>
    </w:p>
    <w:p>
      <w:pPr>
        <w:jc w:val="both"/>
        <w:ind w:firstLine="2"/>
        <w:spacing w:after="0" w:line="244" w:lineRule="auto"/>
        <w:tabs>
          <w:tab w:leader="none" w:pos="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Luxembourg</w:t>
      </w:r>
    </w:p>
    <w:p>
      <w:pPr>
        <w:spacing w:after="0" w:line="170"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70"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2"/>
          <w:szCs w:val="12"/>
          <w:color w:val="auto"/>
        </w:rPr>
        <w:t>Certain legal matters relating to Canadian law in connection with this offering of Notes will be passed upon for the Corporation by McCarthy Tétrault LLP, Calgary, Alberta, Canada, and the validity of the Notes as to matters of New York law and the validity of the related guarantees will be passed upon for the Corporation by Sullivan &amp; Cromwell LLP, New York, New York. In addition, certain legal matters relating to United States law in connection with this offering of the Notes and the validity of the Notes and related guarantees will be passed upon for the underwriters by Baker Botts L.L.P., Houston, Texas and certain legal matters relating to Canadian law in connection with this offering of the Notes will be passed upon for the underwriters by Osler, Hoskin &amp; Harcourt LLP, Calgary, Alberta, Canada.</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jc w:val="both"/>
        <w:ind w:firstLine="49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and management’s assessment of the effectiveness of internal control over financial reporting (which is included in Management’s Report on Internal Control Over Financial Reporting) incorporated in this prospectus supplement by reference to the </w:t>
      </w:r>
      <w:hyperlink r:id="rId73">
        <w:r>
          <w:rPr>
            <w:rFonts w:ascii="Times New Roman" w:cs="Times New Roman" w:eastAsia="Times New Roman" w:hAnsi="Times New Roman"/>
            <w:sz w:val="14"/>
            <w:szCs w:val="14"/>
            <w:u w:val="single" w:color="auto"/>
            <w:color w:val="0000EE"/>
          </w:rPr>
          <w:t>Annual Report on Form 10-K for the fiscal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have been so incorporated in reliance on the report of PricewaterhouseCoopers LLP, an independent registered public accounting firm, given on the authority of said firm as experts in auditing and accounting.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12065</wp:posOffset>
            </wp:positionV>
            <wp:extent cx="998855" cy="226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998855" cy="22669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GUARANTEES OF DEBT SECURITIES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106045</wp:posOffset>
            </wp:positionV>
            <wp:extent cx="179641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1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14"/>
          <w:szCs w:val="14"/>
          <w:color w:val="auto"/>
        </w:rPr>
        <w:t>We may from time to time offer our debt securities (which may be guaranteed by our wholly owned subsidiaries, Spectra Energy Partners, LP (“</w:t>
      </w:r>
      <w:r>
        <w:rPr>
          <w:rFonts w:ascii="Times New Roman" w:cs="Times New Roman" w:eastAsia="Times New Roman" w:hAnsi="Times New Roman"/>
          <w:sz w:val="14"/>
          <w:szCs w:val="14"/>
          <w:b w:val="1"/>
          <w:bCs w:val="1"/>
          <w:color w:val="auto"/>
        </w:rPr>
        <w:t>SEP</w:t>
      </w:r>
      <w:r>
        <w:rPr>
          <w:rFonts w:ascii="Times New Roman" w:cs="Times New Roman" w:eastAsia="Times New Roman" w:hAnsi="Times New Roman"/>
          <w:sz w:val="14"/>
          <w:szCs w:val="14"/>
          <w:color w:val="auto"/>
        </w:rPr>
        <w:t>”) and Enbridge Energy Partners, L.P. (“</w:t>
      </w:r>
      <w:r>
        <w:rPr>
          <w:rFonts w:ascii="Times New Roman" w:cs="Times New Roman" w:eastAsia="Times New Roman" w:hAnsi="Times New Roman"/>
          <w:sz w:val="14"/>
          <w:szCs w:val="14"/>
          <w:b w:val="1"/>
          <w:bCs w:val="1"/>
          <w:color w:val="auto"/>
        </w:rPr>
        <w:t>EEP</w:t>
      </w:r>
      <w:r>
        <w:rPr>
          <w:rFonts w:ascii="Times New Roman" w:cs="Times New Roman" w:eastAsia="Times New Roman" w:hAnsi="Times New Roman"/>
          <w:sz w:val="14"/>
          <w:szCs w:val="14"/>
          <w:color w:val="auto"/>
        </w:rPr>
        <w:t>”)), common shares and cumulative redeemable preference shares (the “</w:t>
      </w:r>
      <w:r>
        <w:rPr>
          <w:rFonts w:ascii="Times New Roman" w:cs="Times New Roman" w:eastAsia="Times New Roman" w:hAnsi="Times New Roman"/>
          <w:sz w:val="14"/>
          <w:szCs w:val="14"/>
          <w:b w:val="1"/>
          <w:bCs w:val="1"/>
          <w:color w:val="auto"/>
        </w:rPr>
        <w:t>preference shares</w:t>
      </w:r>
      <w:r>
        <w:rPr>
          <w:rFonts w:ascii="Times New Roman" w:cs="Times New Roman" w:eastAsia="Times New Roman" w:hAnsi="Times New Roman"/>
          <w:sz w:val="14"/>
          <w:szCs w:val="14"/>
          <w:color w:val="auto"/>
        </w:rPr>
        <w:t>” and, together with our debt securities, the subsidiary guarantees of our debt securities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and our common shares,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We may offer the Securities separately or together, in separate series or classes and in amounts, at prices and on terms described in one or more supplements to this prospectus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14"/>
          <w:szCs w:val="14"/>
          <w:color w:val="auto"/>
        </w:rPr>
        <w:t>The specific variable terms of any offering of Securities will be set forth in one or more supplements to this Prospectus (each, a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including, where applicable: (i) in the case of common shares or preference shares, the number of shares offered and the offering price; and (ii) in the case of debt securities, the designation, any limit on the aggregate principal amount, the currency or currency unit, the maturity, the offering price, whether payment on the debt securities will be senior or subordinated to our other liabilities and obligations, whether the debt securities will bear interest, the interest rate or method of determining the interest rate, any terms of redemption, any conversion or exchange rights, whether the debt securities will be guaranteed and any other specific terms of the debt securities.</w:t>
      </w:r>
    </w:p>
    <w:p>
      <w:pPr>
        <w:spacing w:after="0" w:line="142" w:lineRule="exact"/>
        <w:rPr>
          <w:sz w:val="20"/>
          <w:szCs w:val="20"/>
          <w:color w:val="auto"/>
        </w:rPr>
      </w:pPr>
    </w:p>
    <w:p>
      <w:pPr>
        <w:ind w:right="320" w:firstLine="490"/>
        <w:spacing w:after="0" w:line="257" w:lineRule="auto"/>
        <w:rPr>
          <w:sz w:val="20"/>
          <w:szCs w:val="20"/>
          <w:color w:val="auto"/>
        </w:rPr>
      </w:pPr>
      <w:r>
        <w:rPr>
          <w:rFonts w:ascii="Times New Roman" w:cs="Times New Roman" w:eastAsia="Times New Roman" w:hAnsi="Times New Roman"/>
          <w:sz w:val="14"/>
          <w:szCs w:val="14"/>
          <w:color w:val="auto"/>
        </w:rPr>
        <w:t>The Corporation’s common shares are listed on the New York Stock Exchange (the “</w:t>
      </w:r>
      <w:r>
        <w:rPr>
          <w:rFonts w:ascii="Times New Roman" w:cs="Times New Roman" w:eastAsia="Times New Roman" w:hAnsi="Times New Roman"/>
          <w:sz w:val="14"/>
          <w:szCs w:val="14"/>
          <w:b w:val="1"/>
          <w:bCs w:val="1"/>
          <w:color w:val="auto"/>
        </w:rPr>
        <w:t>NYSE</w:t>
      </w:r>
      <w:r>
        <w:rPr>
          <w:rFonts w:ascii="Times New Roman" w:cs="Times New Roman" w:eastAsia="Times New Roman" w:hAnsi="Times New Roman"/>
          <w:sz w:val="14"/>
          <w:szCs w:val="14"/>
          <w:color w:val="auto"/>
        </w:rPr>
        <w:t>”) and the Toronto Stock Exchange (the “</w:t>
      </w:r>
      <w:r>
        <w:rPr>
          <w:rFonts w:ascii="Times New Roman" w:cs="Times New Roman" w:eastAsia="Times New Roman" w:hAnsi="Times New Roman"/>
          <w:sz w:val="14"/>
          <w:szCs w:val="14"/>
          <w:b w:val="1"/>
          <w:bCs w:val="1"/>
          <w:color w:val="auto"/>
        </w:rPr>
        <w:t>TSX</w:t>
      </w:r>
      <w:r>
        <w:rPr>
          <w:rFonts w:ascii="Times New Roman" w:cs="Times New Roman" w:eastAsia="Times New Roman" w:hAnsi="Times New Roman"/>
          <w:sz w:val="14"/>
          <w:szCs w:val="14"/>
          <w:color w:val="auto"/>
        </w:rPr>
        <w:t>”) under the symbol “ENB”. Certain series of the Corporation’s preference shares are listed on the TSX. On July 31, 2025, the last reported sales price of our common shares on the NYSE was US$45.29 per share and the last reported sales price of our common shares on the TSX was Cdn$62.75 per share.</w:t>
      </w:r>
    </w:p>
    <w:p>
      <w:pPr>
        <w:spacing w:after="0" w:line="140" w:lineRule="exact"/>
        <w:rPr>
          <w:sz w:val="20"/>
          <w:szCs w:val="20"/>
          <w:color w:val="auto"/>
        </w:rPr>
      </w:pPr>
    </w:p>
    <w:p>
      <w:pPr>
        <w:ind w:right="80" w:firstLine="490"/>
        <w:spacing w:after="0" w:line="250" w:lineRule="auto"/>
        <w:rPr>
          <w:sz w:val="20"/>
          <w:szCs w:val="20"/>
          <w:color w:val="auto"/>
        </w:rPr>
      </w:pPr>
      <w:r>
        <w:rPr>
          <w:rFonts w:ascii="Times New Roman" w:cs="Times New Roman" w:eastAsia="Times New Roman" w:hAnsi="Times New Roman"/>
          <w:sz w:val="14"/>
          <w:szCs w:val="14"/>
          <w:color w:val="auto"/>
        </w:rPr>
        <w:t>The Securities may be sold directly, on a continuous or delayed basis, through dealers or agents designated from time to time, to or through underwriters or through a combination of these methods.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 We may also describe the plan of distribution for any particular offering of the Securities in any applicable Prospectus Supplement. If any agents, underwriters or dealers are involved in the sale of any securities in respect of which this Prospectus is being delivered, we will disclose their names and the nature of our arrangements as well as the net proceeds we expect to receive from any such sale, in the applicable Prospectus Supplement.</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You should read this Prospectus and any accompanying Prospectus Supplement carefully before you invest in the Securities.</w:t>
      </w:r>
    </w:p>
    <w:p>
      <w:pPr>
        <w:spacing w:after="0" w:line="162"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0"/>
          <w:szCs w:val="20"/>
          <w:color w:val="auto"/>
        </w:rPr>
      </w:pPr>
    </w:p>
    <w:p>
      <w:pPr>
        <w:jc w:val="both"/>
        <w:ind w:right="180" w:firstLine="490"/>
        <w:spacing w:after="0" w:line="257" w:lineRule="auto"/>
        <w:rPr>
          <w:sz w:val="20"/>
          <w:szCs w:val="20"/>
          <w:color w:val="auto"/>
        </w:rPr>
      </w:pPr>
      <w:r>
        <w:rPr>
          <w:rFonts w:ascii="Times New Roman" w:cs="Times New Roman" w:eastAsia="Times New Roman" w:hAnsi="Times New Roman"/>
          <w:sz w:val="14"/>
          <w:szCs w:val="14"/>
          <w:b w:val="1"/>
          <w:bCs w:val="1"/>
          <w:color w:val="auto"/>
        </w:rPr>
        <w:t>The enforcement by investors of civil liabilities under United States federal securities laws may be affected adversely by the fact that the Corporation is incorporated under the laws of Canada, that at certain points in time, most of its officers and directors may be residents of Canada, that some of the experts named in this Prospectus are residents of Canada, and that all or a substantial portion of the assets of the Corporation and said persons are located outside the United States.</w:t>
      </w:r>
    </w:p>
    <w:p>
      <w:pPr>
        <w:spacing w:after="0" w:line="136" w:lineRule="exact"/>
        <w:rPr>
          <w:sz w:val="20"/>
          <w:szCs w:val="20"/>
          <w:color w:val="auto"/>
        </w:rPr>
      </w:pPr>
    </w:p>
    <w:p>
      <w:pPr>
        <w:ind w:right="140" w:firstLine="490"/>
        <w:spacing w:after="0" w:line="25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Investing in these Securities involves certain risks. To read about certain factors you should consider before buying any of the Securities, see “</w:t>
      </w:r>
      <w:r>
        <w:rPr>
          <w:rFonts w:ascii="Times New Roman" w:cs="Times New Roman" w:eastAsia="Times New Roman" w:hAnsi="Times New Roman"/>
          <w:sz w:val="14"/>
          <w:szCs w:val="14"/>
          <w:b w:val="1"/>
          <w:bCs w:val="1"/>
          <w:i w:val="1"/>
          <w:iCs w:val="1"/>
          <w:u w:val="single" w:color="auto"/>
          <w:color w:val="auto"/>
        </w:rPr>
        <w:t>Risk Factors</w:t>
      </w:r>
      <w:r>
        <w:rPr>
          <w:rFonts w:ascii="Times New Roman" w:cs="Times New Roman" w:eastAsia="Times New Roman" w:hAnsi="Times New Roman"/>
          <w:sz w:val="14"/>
          <w:szCs w:val="14"/>
          <w:b w:val="1"/>
          <w:bCs w:val="1"/>
          <w:color w:val="auto"/>
        </w:rPr>
        <w:t xml:space="preserve">” on page 4 of this Prospectus and beginning on page 48 of </w:t>
      </w:r>
      <w:hyperlink r:id="rId77">
        <w:r>
          <w:rPr>
            <w:rFonts w:ascii="Times New Roman" w:cs="Times New Roman" w:eastAsia="Times New Roman" w:hAnsi="Times New Roman"/>
            <w:sz w:val="14"/>
            <w:szCs w:val="14"/>
            <w:b w:val="1"/>
            <w:bCs w:val="1"/>
            <w:u w:val="single" w:color="auto"/>
            <w:color w:val="0000EE"/>
          </w:rPr>
          <w:t>our annual report on Form 10-K for the year ended December 31, 2024</w:t>
        </w:r>
      </w:hyperlink>
      <w:r>
        <w:rPr>
          <w:rFonts w:ascii="Times New Roman" w:cs="Times New Roman" w:eastAsia="Times New Roman" w:hAnsi="Times New Roman"/>
          <w:sz w:val="14"/>
          <w:szCs w:val="14"/>
          <w:b w:val="1"/>
          <w:bCs w:val="1"/>
          <w:color w:val="auto"/>
        </w:rPr>
        <w:t>, which is incorporated by reference herein, as well as any risk factors included in, or incorporated by reference into, an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97155</wp:posOffset>
            </wp:positionV>
            <wp:extent cx="179641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This Prospectus is dated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336550</wp:posOffset>
            </wp:positionV>
            <wp:extent cx="716597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0" w:type="dxa"/>
            <w:vAlign w:val="bottom"/>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180" w:type="dxa"/>
            <w:vAlign w:val="bottom"/>
            <w:tcBorders>
              <w:right w:val="single" w:sz="8" w:color="CCEEFF"/>
            </w:tcBorders>
            <w:gridSpan w:val="5"/>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2"/>
              </w:rPr>
              <w:t>About this Prospectus</w:t>
            </w:r>
          </w:p>
        </w:tc>
        <w:tc>
          <w:tcPr>
            <w:tcW w:w="1300" w:type="dxa"/>
            <w:vAlign w:val="bottom"/>
            <w:gridSpan w:val="5"/>
            <w:shd w:val="clear" w:color="auto" w:fill="CCEEFF"/>
          </w:tcPr>
          <w:p>
            <w:pPr>
              <w:spacing w:after="0"/>
              <w:rPr>
                <w:sz w:val="11"/>
                <w:szCs w:val="11"/>
                <w:color w:val="auto"/>
              </w:rPr>
            </w:pPr>
          </w:p>
        </w:tc>
        <w:tc>
          <w:tcPr>
            <w:tcW w:w="8780" w:type="dxa"/>
            <w:vAlign w:val="bottom"/>
            <w:tcBorders>
              <w:left w:val="single" w:sz="8" w:color="CCEEFF"/>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10"/>
          </w:tcPr>
          <w:p>
            <w:pPr>
              <w:spacing w:after="0" w:line="133" w:lineRule="exact"/>
              <w:rPr>
                <w:sz w:val="20"/>
                <w:szCs w:val="20"/>
                <w:color w:val="auto"/>
              </w:rPr>
            </w:pPr>
            <w:r>
              <w:rPr>
                <w:rFonts w:ascii="Times New Roman" w:cs="Times New Roman" w:eastAsia="Times New Roman" w:hAnsi="Times New Roman"/>
                <w:sz w:val="14"/>
                <w:szCs w:val="14"/>
                <w:color w:val="0000EE"/>
                <w:w w:val="94"/>
              </w:rPr>
              <w:t>Note Regarding Forward-Looking Statements</w:t>
            </w: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gridSpan w:val="10"/>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gridSpan w:val="6"/>
          </w:tcPr>
          <w:p>
            <w:pPr>
              <w:spacing w:after="0" w:line="133" w:lineRule="exact"/>
              <w:rPr>
                <w:sz w:val="20"/>
                <w:szCs w:val="20"/>
                <w:color w:val="auto"/>
              </w:rPr>
            </w:pPr>
            <w:r>
              <w:rPr>
                <w:rFonts w:ascii="Times New Roman" w:cs="Times New Roman" w:eastAsia="Times New Roman" w:hAnsi="Times New Roman"/>
                <w:sz w:val="14"/>
                <w:szCs w:val="14"/>
                <w:color w:val="0000EE"/>
                <w:w w:val="93"/>
              </w:rPr>
              <w:t>Incorporation by Reference</w:t>
            </w:r>
          </w:p>
        </w:tc>
        <w:tc>
          <w:tcPr>
            <w:tcW w:w="66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480" w:type="dxa"/>
            <w:vAlign w:val="bottom"/>
            <w:gridSpan w:val="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The Corporation</w:t>
            </w:r>
          </w:p>
        </w:tc>
        <w:tc>
          <w:tcPr>
            <w:tcW w:w="1000" w:type="dxa"/>
            <w:vAlign w:val="bottom"/>
            <w:tcBorders>
              <w:left w:val="single" w:sz="8" w:color="CCEEFF"/>
            </w:tcBorders>
            <w:gridSpan w:val="4"/>
            <w:shd w:val="clear" w:color="auto" w:fill="CCEEFF"/>
          </w:tcPr>
          <w:p>
            <w:pPr>
              <w:spacing w:after="0"/>
              <w:rPr>
                <w:sz w:val="12"/>
                <w:szCs w:val="12"/>
                <w:color w:val="auto"/>
              </w:rPr>
            </w:pP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1600" w:type="dxa"/>
            <w:vAlign w:val="bottom"/>
            <w:gridSpan w:val="7"/>
          </w:tcPr>
          <w:p>
            <w:pPr>
              <w:spacing w:after="0"/>
              <w:rPr>
                <w:sz w:val="11"/>
                <w:szCs w:val="11"/>
                <w:color w:val="auto"/>
              </w:rPr>
            </w:pP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gridSpan w:val="10"/>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10"/>
          </w:tcPr>
          <w:p>
            <w:pPr>
              <w:spacing w:after="0" w:line="133" w:lineRule="exact"/>
              <w:rPr>
                <w:sz w:val="20"/>
                <w:szCs w:val="20"/>
                <w:color w:val="auto"/>
              </w:rPr>
            </w:pPr>
            <w:r>
              <w:rPr>
                <w:rFonts w:ascii="Times New Roman" w:cs="Times New Roman" w:eastAsia="Times New Roman" w:hAnsi="Times New Roman"/>
                <w:sz w:val="14"/>
                <w:szCs w:val="14"/>
                <w:color w:val="0000EE"/>
                <w:w w:val="93"/>
              </w:rPr>
              <w:t>Description of Debt Securities and Guarantees</w:t>
            </w: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500" w:type="dxa"/>
            <w:vAlign w:val="bottom"/>
            <w:tcBorders>
              <w:left w:val="single" w:sz="8" w:color="0000EE"/>
            </w:tcBorders>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480" w:type="dxa"/>
            <w:vAlign w:val="bottom"/>
            <w:gridSpan w:val="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0"/>
              </w:rPr>
              <w:t>Description of Share Capital</w:t>
            </w:r>
          </w:p>
        </w:tc>
        <w:tc>
          <w:tcPr>
            <w:tcW w:w="1000" w:type="dxa"/>
            <w:vAlign w:val="bottom"/>
            <w:tcBorders>
              <w:left w:val="single" w:sz="8" w:color="CCEEFF"/>
            </w:tcBorders>
            <w:gridSpan w:val="4"/>
            <w:shd w:val="clear" w:color="auto" w:fill="CCEEFF"/>
          </w:tcPr>
          <w:p>
            <w:pPr>
              <w:spacing w:after="0"/>
              <w:rPr>
                <w:sz w:val="12"/>
                <w:szCs w:val="12"/>
                <w:color w:val="auto"/>
              </w:rPr>
            </w:pP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gridSpan w:val="8"/>
          </w:tcPr>
          <w:p>
            <w:pPr>
              <w:spacing w:after="0" w:line="133" w:lineRule="exact"/>
              <w:rPr>
                <w:sz w:val="20"/>
                <w:szCs w:val="20"/>
                <w:color w:val="auto"/>
              </w:rPr>
            </w:pPr>
            <w:r>
              <w:rPr>
                <w:rFonts w:ascii="Times New Roman" w:cs="Times New Roman" w:eastAsia="Times New Roman" w:hAnsi="Times New Roman"/>
                <w:sz w:val="14"/>
                <w:szCs w:val="14"/>
                <w:color w:val="0000EE"/>
                <w:w w:val="95"/>
              </w:rPr>
              <w:t>Material Income Tax Considerations</w:t>
            </w:r>
          </w:p>
        </w:tc>
        <w:tc>
          <w:tcPr>
            <w:tcW w:w="500" w:type="dxa"/>
            <w:vAlign w:val="bottom"/>
            <w:gridSpan w:val="2"/>
          </w:tcPr>
          <w:p>
            <w:pPr>
              <w:spacing w:after="0"/>
              <w:rPr>
                <w:sz w:val="11"/>
                <w:szCs w:val="11"/>
                <w:color w:val="auto"/>
              </w:rPr>
            </w:pP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gridSpan w:val="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500" w:type="dxa"/>
            <w:vAlign w:val="bottom"/>
            <w:gridSpan w:val="2"/>
            <w:shd w:val="clear" w:color="auto" w:fill="CCEEFF"/>
          </w:tcPr>
          <w:p>
            <w:pPr>
              <w:spacing w:after="0"/>
              <w:rPr>
                <w:sz w:val="12"/>
                <w:szCs w:val="12"/>
                <w:color w:val="auto"/>
              </w:rPr>
            </w:pP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10"/>
          </w:tcPr>
          <w:p>
            <w:pPr>
              <w:spacing w:after="0" w:line="133"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right w:val="single" w:sz="8" w:color="CCEEFF"/>
            </w:tcBorders>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5"/>
              </w:rPr>
              <w:t>Validity of Securities</w:t>
            </w:r>
          </w:p>
        </w:tc>
        <w:tc>
          <w:tcPr>
            <w:tcW w:w="540" w:type="dxa"/>
            <w:vAlign w:val="bottom"/>
            <w:gridSpan w:val="2"/>
            <w:shd w:val="clear" w:color="auto" w:fill="CCEEFF"/>
          </w:tcPr>
          <w:p>
            <w:pPr>
              <w:spacing w:after="0"/>
              <w:rPr>
                <w:sz w:val="12"/>
                <w:szCs w:val="12"/>
                <w:color w:val="auto"/>
              </w:rPr>
            </w:pPr>
          </w:p>
        </w:tc>
        <w:tc>
          <w:tcPr>
            <w:tcW w:w="760" w:type="dxa"/>
            <w:vAlign w:val="bottom"/>
            <w:gridSpan w:val="3"/>
            <w:shd w:val="clear" w:color="auto" w:fill="CCEEFF"/>
          </w:tcPr>
          <w:p>
            <w:pPr>
              <w:spacing w:after="0"/>
              <w:rPr>
                <w:sz w:val="12"/>
                <w:szCs w:val="12"/>
                <w:color w:val="auto"/>
              </w:rPr>
            </w:pPr>
          </w:p>
        </w:tc>
        <w:tc>
          <w:tcPr>
            <w:tcW w:w="8780" w:type="dxa"/>
            <w:vAlign w:val="bottom"/>
            <w:tcBorders>
              <w:left w:val="single" w:sz="8" w:color="CCEEFF"/>
              <w:right w:val="single" w:sz="8" w:color="CCEEFF"/>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0000EE"/>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500" w:type="dxa"/>
            <w:vAlign w:val="bottom"/>
            <w:tcBorders>
              <w:left w:val="single" w:sz="8" w:color="CCEEFF"/>
            </w:tcBorders>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0000EE"/>
                <w:w w:val="88"/>
              </w:rPr>
              <w:t>Experts</w:t>
            </w:r>
          </w:p>
        </w:tc>
        <w:tc>
          <w:tcPr>
            <w:tcW w:w="780" w:type="dxa"/>
            <w:vAlign w:val="bottom"/>
            <w:gridSpan w:val="4"/>
          </w:tcPr>
          <w:p>
            <w:pPr>
              <w:spacing w:after="0"/>
              <w:rPr>
                <w:sz w:val="11"/>
                <w:szCs w:val="11"/>
                <w:color w:val="auto"/>
              </w:rPr>
            </w:pPr>
          </w:p>
        </w:tc>
        <w:tc>
          <w:tcPr>
            <w:tcW w:w="1300" w:type="dxa"/>
            <w:vAlign w:val="bottom"/>
            <w:gridSpan w:val="5"/>
          </w:tcPr>
          <w:p>
            <w:pPr>
              <w:spacing w:after="0"/>
              <w:rPr>
                <w:sz w:val="11"/>
                <w:szCs w:val="11"/>
                <w:color w:val="auto"/>
              </w:rPr>
            </w:pPr>
          </w:p>
        </w:tc>
        <w:tc>
          <w:tcPr>
            <w:tcW w:w="8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0000EE"/>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14"/>
          <w:szCs w:val="14"/>
          <w:b w:val="1"/>
          <w:bCs w:val="1"/>
          <w:color w:val="auto"/>
        </w:rPr>
        <w:t>The Corporation has not authorized anyone to provide any information or to make any representations other than as contained or incorporated by reference in this Prospectus or in any accompanying supplement to this Prospectus or any free writing prospectus. The Corporation takes no responsibility for, and can provide no assurance as to the reliability of, any other information that others may give you. This Prospectus, any accompanying supplement to this Prospectus and any free writing prospectus do not constitute an offer to sell or the solicitation of an offer to buy any securities other than the registered securities to which they relate, nor do this Prospectus, any accompanying supplement to this Prospectus, and any free writing prospectus constitute an offer to sell or the solicitation of an offer to buy securities in any jurisdiction to any person to whom it is unlawful to make such offer or solicitation in such jurisdiction. The information contained or incorporated by reference in this Prospectus, any supplement to this Prospectus and any free writing prospectus is accurate as of the dates of the applicable documents. Our business, financial condition, results of operations and prospects may have changed since the applicable dates. When this Prospectus, a supplement or free writing prospectus are delivered and any Securities are sold pursuant to this Prospectus or a supplement or free writing prospectus, we are not implying that the information is current as of the date of the delivery or sale. You should not consider any information in this Prospectus or in the documents incorporated by reference herein to be investment, legal or tax advice. We encourage you to consult your own counsel, accountant and other advisors for legal, tax, business, financial and related advice regarding an investment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6597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6"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utilizing a “shelf” registration process. Under this shelf process, we may sell the Securities described in this Prospectus in one or more offerings. This Prospectus provides you with a general description of the Securities that may be offered pursuant to this Prospectus. Each time we offer Securities pursuant to this Prospectus, we will provide you with one or more Prospectus Supplements that will provide specific information about the Securities being offered and describe the specific terms of that offering. A Prospectus Supplement may also include a discussion of any additional risk factors or other special considerations that apply to the Securities being offered and add to, update or change the information contained in this Prospectus. If there is any inconsistency between the information in this Prospectus and any Prospectus Supplement, you should rely on the Prospectus Supplement. You should read both this Prospectus and any Prospectus Supplement together with the additional information described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before purchasing any Securities.</w:t>
      </w:r>
    </w:p>
    <w:p>
      <w:pPr>
        <w:spacing w:after="0" w:line="143"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14"/>
          <w:szCs w:val="14"/>
          <w:color w:val="auto"/>
        </w:rPr>
        <w:t>In this Prospectus and in any Prospectus Supplement, unless otherwise specified or the context otherwise requires, all dollar amounts are expressed in Canadian dollars or Cdn$. “</w:t>
      </w:r>
      <w:r>
        <w:rPr>
          <w:rFonts w:ascii="Times New Roman" w:cs="Times New Roman" w:eastAsia="Times New Roman" w:hAnsi="Times New Roman"/>
          <w:sz w:val="14"/>
          <w:szCs w:val="14"/>
          <w:b w:val="1"/>
          <w:bCs w:val="1"/>
          <w:color w:val="auto"/>
        </w:rPr>
        <w:t>U.S. dollars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means lawful currency of the United States. Unless otherwise indicated, all financial information included in this Prospectus or included in any Prospectus Supplement is determined using U.S. generally accepted accounting principles (“</w:t>
      </w:r>
      <w:r>
        <w:rPr>
          <w:rFonts w:ascii="Times New Roman" w:cs="Times New Roman" w:eastAsia="Times New Roman" w:hAnsi="Times New Roman"/>
          <w:sz w:val="14"/>
          <w:szCs w:val="14"/>
          <w:b w:val="1"/>
          <w:bCs w:val="1"/>
          <w:color w:val="auto"/>
        </w:rPr>
        <w:t>U.S. GAAP</w:t>
      </w:r>
      <w:r>
        <w:rPr>
          <w:rFonts w:ascii="Times New Roman" w:cs="Times New Roman" w:eastAsia="Times New Roman" w:hAnsi="Times New Roman"/>
          <w:sz w:val="14"/>
          <w:szCs w:val="14"/>
          <w:color w:val="auto"/>
        </w:rPr>
        <w:t>”). Except as set forth under “</w:t>
      </w:r>
      <w:r>
        <w:rPr>
          <w:rFonts w:ascii="Times New Roman" w:cs="Times New Roman" w:eastAsia="Times New Roman" w:hAnsi="Times New Roman"/>
          <w:sz w:val="14"/>
          <w:szCs w:val="14"/>
          <w:i w:val="1"/>
          <w:iCs w:val="1"/>
          <w:color w:val="auto"/>
        </w:rPr>
        <w:t>Description of Debt Securities and Guarantees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Share Capital</w:t>
      </w:r>
      <w:r>
        <w:rPr>
          <w:rFonts w:ascii="Times New Roman" w:cs="Times New Roman" w:eastAsia="Times New Roman" w:hAnsi="Times New Roman"/>
          <w:sz w:val="14"/>
          <w:szCs w:val="14"/>
          <w:color w:val="auto"/>
        </w:rPr>
        <w:t>”, and unless the context otherwise requires, all references in this Prospectus and any Prospectus Supplement to “</w:t>
      </w:r>
      <w:r>
        <w:rPr>
          <w:rFonts w:ascii="Times New Roman" w:cs="Times New Roman" w:eastAsia="Times New Roman" w:hAnsi="Times New Roman"/>
          <w:sz w:val="14"/>
          <w:szCs w:val="14"/>
          <w:b w:val="1"/>
          <w:bCs w:val="1"/>
          <w:color w:val="auto"/>
        </w:rPr>
        <w:t>Enbridge</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14"/>
          <w:szCs w:val="14"/>
          <w:color w:val="auto"/>
        </w:rPr>
        <w:t>” mean Enbridge Inc. and its subsidiaries, partnership interests and joint venture investments.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40"/>
          </w:cols>
          <w:pgMar w:left="300" w:top="715" w:right="4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 REGARDING FORWARD-LOOKING STATEMENTS</w:t>
      </w:r>
    </w:p>
    <w:p>
      <w:pPr>
        <w:spacing w:after="0" w:line="170" w:lineRule="exact"/>
        <w:rPr>
          <w:sz w:val="20"/>
          <w:szCs w:val="20"/>
          <w:color w:val="auto"/>
        </w:rPr>
      </w:pPr>
    </w:p>
    <w:p>
      <w:pPr>
        <w:ind w:firstLine="490"/>
        <w:spacing w:after="0" w:line="288" w:lineRule="auto"/>
        <w:rPr>
          <w:sz w:val="20"/>
          <w:szCs w:val="20"/>
          <w:color w:val="auto"/>
        </w:rPr>
      </w:pPr>
      <w:r>
        <w:rPr>
          <w:rFonts w:ascii="Times New Roman" w:cs="Times New Roman" w:eastAsia="Times New Roman" w:hAnsi="Times New Roman"/>
          <w:sz w:val="12"/>
          <w:szCs w:val="12"/>
          <w:color w:val="auto"/>
        </w:rPr>
        <w:t>This Prospectus, including the documents incorporated by reference into this Prospectus, contain both historical and forward-looking statements within the meaning of Section 27A of the U.S. Securities Act of 1933, as amended (the “</w:t>
      </w:r>
      <w:r>
        <w:rPr>
          <w:rFonts w:ascii="Times New Roman" w:cs="Times New Roman" w:eastAsia="Times New Roman" w:hAnsi="Times New Roman"/>
          <w:sz w:val="12"/>
          <w:szCs w:val="12"/>
          <w:b w:val="1"/>
          <w:bCs w:val="1"/>
          <w:color w:val="auto"/>
        </w:rPr>
        <w:t>U.S. Securities Act</w:t>
      </w:r>
      <w:r>
        <w:rPr>
          <w:rFonts w:ascii="Times New Roman" w:cs="Times New Roman" w:eastAsia="Times New Roman" w:hAnsi="Times New Roman"/>
          <w:sz w:val="12"/>
          <w:szCs w:val="12"/>
          <w:color w:val="auto"/>
        </w:rPr>
        <w:t>”), and Section 21E of the U.S. Securities Exchange Act of 1934, as amended (the “</w:t>
      </w:r>
      <w:r>
        <w:rPr>
          <w:rFonts w:ascii="Times New Roman" w:cs="Times New Roman" w:eastAsia="Times New Roman" w:hAnsi="Times New Roman"/>
          <w:sz w:val="12"/>
          <w:szCs w:val="12"/>
          <w:b w:val="1"/>
          <w:bCs w:val="1"/>
          <w:color w:val="auto"/>
        </w:rPr>
        <w:t>U.S. Exchange Act</w:t>
      </w:r>
      <w:r>
        <w:rPr>
          <w:rFonts w:ascii="Times New Roman" w:cs="Times New Roman" w:eastAsia="Times New Roman" w:hAnsi="Times New Roman"/>
          <w:sz w:val="12"/>
          <w:szCs w:val="12"/>
          <w:color w:val="auto"/>
        </w:rPr>
        <w:t>”), and forward-looking information within the meaning of Canadian securities laws (collectively, “</w:t>
      </w:r>
      <w:r>
        <w:rPr>
          <w:rFonts w:ascii="Times New Roman" w:cs="Times New Roman" w:eastAsia="Times New Roman" w:hAnsi="Times New Roman"/>
          <w:sz w:val="12"/>
          <w:szCs w:val="12"/>
          <w:b w:val="1"/>
          <w:bCs w:val="1"/>
          <w:color w:val="auto"/>
        </w:rPr>
        <w:t>forward-looking statements</w:t>
      </w:r>
      <w:r>
        <w:rPr>
          <w:rFonts w:ascii="Times New Roman" w:cs="Times New Roman" w:eastAsia="Times New Roman" w:hAnsi="Times New Roman"/>
          <w:sz w:val="12"/>
          <w:szCs w:val="12"/>
          <w:color w:val="auto"/>
        </w:rPr>
        <w:t>”).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Prospectus include, but are not limited to, statements with respect to the following: our corporate vision and strategy, including strategic priorities and enablers; expected supply of, demand for, exports of and prices of crude oil, natural gas, natural gas liquids (“</w:t>
      </w:r>
      <w:r>
        <w:rPr>
          <w:rFonts w:ascii="Times New Roman" w:cs="Times New Roman" w:eastAsia="Times New Roman" w:hAnsi="Times New Roman"/>
          <w:sz w:val="12"/>
          <w:szCs w:val="12"/>
          <w:b w:val="1"/>
          <w:bCs w:val="1"/>
          <w:color w:val="auto"/>
        </w:rPr>
        <w:t>NGL</w:t>
      </w:r>
      <w:r>
        <w:rPr>
          <w:rFonts w:ascii="Times New Roman" w:cs="Times New Roman" w:eastAsia="Times New Roman" w:hAnsi="Times New Roman"/>
          <w:sz w:val="12"/>
          <w:szCs w:val="12"/>
          <w:color w:val="auto"/>
        </w:rPr>
        <w:t>”), liquefied natural gas (“</w:t>
      </w:r>
      <w:r>
        <w:rPr>
          <w:rFonts w:ascii="Times New Roman" w:cs="Times New Roman" w:eastAsia="Times New Roman" w:hAnsi="Times New Roman"/>
          <w:sz w:val="12"/>
          <w:szCs w:val="12"/>
          <w:b w:val="1"/>
          <w:bCs w:val="1"/>
          <w:color w:val="auto"/>
        </w:rPr>
        <w:t>LNG</w:t>
      </w:r>
      <w:r>
        <w:rPr>
          <w:rFonts w:ascii="Times New Roman" w:cs="Times New Roman" w:eastAsia="Times New Roman" w:hAnsi="Times New Roman"/>
          <w:sz w:val="12"/>
          <w:szCs w:val="12"/>
          <w:color w:val="auto"/>
        </w:rPr>
        <w:t>”), renewable natural gas (“</w:t>
      </w:r>
      <w:r>
        <w:rPr>
          <w:rFonts w:ascii="Times New Roman" w:cs="Times New Roman" w:eastAsia="Times New Roman" w:hAnsi="Times New Roman"/>
          <w:sz w:val="12"/>
          <w:szCs w:val="12"/>
          <w:b w:val="1"/>
          <w:bCs w:val="1"/>
          <w:color w:val="auto"/>
        </w:rPr>
        <w:t>RNG</w:t>
      </w:r>
      <w:r>
        <w:rPr>
          <w:rFonts w:ascii="Times New Roman" w:cs="Times New Roman" w:eastAsia="Times New Roman" w:hAnsi="Times New Roman"/>
          <w:sz w:val="12"/>
          <w:szCs w:val="12"/>
          <w:color w:val="auto"/>
        </w:rPr>
        <w:t>”) and renewable energy; energy transition and lower-carbon energy, and our approach thereto; environmental, social, governance and sustainability goals, practices and performance; industry and market conditions; anticipated utilization of our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U.S. gas utilities (“</w:t>
      </w:r>
      <w:r>
        <w:rPr>
          <w:rFonts w:ascii="Times New Roman" w:cs="Times New Roman" w:eastAsia="Times New Roman" w:hAnsi="Times New Roman"/>
          <w:sz w:val="12"/>
          <w:szCs w:val="12"/>
          <w:b w:val="1"/>
          <w:bCs w:val="1"/>
          <w:color w:val="auto"/>
        </w:rPr>
        <w:t>U.S. Gas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Utilities</w:t>
      </w:r>
      <w:r>
        <w:rPr>
          <w:rFonts w:ascii="Times New Roman" w:cs="Times New Roman" w:eastAsia="Times New Roman" w:hAnsi="Times New Roman"/>
          <w:sz w:val="12"/>
          <w:szCs w:val="12"/>
          <w:color w:val="auto"/>
        </w:rPr>
        <w:t>”) from Dominion Energy, Inc. (the “</w:t>
      </w:r>
      <w:r>
        <w:rPr>
          <w:rFonts w:ascii="Times New Roman" w:cs="Times New Roman" w:eastAsia="Times New Roman" w:hAnsi="Times New Roman"/>
          <w:sz w:val="12"/>
          <w:szCs w:val="12"/>
          <w:b w:val="1"/>
          <w:bCs w:val="1"/>
          <w:color w:val="auto"/>
        </w:rPr>
        <w:t>Acquisitions</w:t>
      </w:r>
      <w:r>
        <w:rPr>
          <w:rFonts w:ascii="Times New Roman" w:cs="Times New Roman" w:eastAsia="Times New Roman" w:hAnsi="Times New Roman"/>
          <w:sz w:val="12"/>
          <w:szCs w:val="12"/>
          <w:color w:val="auto"/>
        </w:rPr>
        <w:t>”); expected future actions of regulators and courts, government trade policies, as well as possible impacts of potential and announced tariffs, duties,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our commercially secured growth program; expected future growth, development and expansion opportunities; expected optimization and efficiency opportunities; expectations about our joint venture partners’ ability to complete and finance projects under construction; our ability to successfully integrate the U.S. Gas Utilities; expected closing of acquisitions, dispositions and other transactions and the timing thereof; toll and rate cases discussions and proceedings and anticipated outcomes, timelines and impacts therefrom, including those relating to the Gas Transmission and Gas Distribution and Storage businesses; operational, industry, regulatory, climate change and other risks associated with our businesses; and our assessment of the potential impact of the various risk factors identified herein.</w:t>
      </w:r>
    </w:p>
    <w:p>
      <w:pPr>
        <w:spacing w:after="0" w:line="200" w:lineRule="exact"/>
        <w:rPr>
          <w:sz w:val="20"/>
          <w:szCs w:val="20"/>
          <w:color w:val="auto"/>
        </w:rPr>
      </w:pPr>
    </w:p>
    <w:p>
      <w:pPr>
        <w:spacing w:after="0" w:line="255" w:lineRule="exact"/>
        <w:rPr>
          <w:sz w:val="20"/>
          <w:szCs w:val="20"/>
          <w:color w:val="auto"/>
        </w:rPr>
      </w:pPr>
    </w:p>
    <w:p>
      <w:pPr>
        <w:ind w:right="20" w:firstLine="490"/>
        <w:spacing w:after="0" w:line="289" w:lineRule="auto"/>
        <w:rPr>
          <w:sz w:val="20"/>
          <w:szCs w:val="20"/>
          <w:color w:val="auto"/>
        </w:rPr>
      </w:pPr>
      <w:r>
        <w:rPr>
          <w:rFonts w:ascii="Times New Roman" w:cs="Times New Roman" w:eastAsia="Times New Roman" w:hAnsi="Times New Roman"/>
          <w:sz w:val="12"/>
          <w:szCs w:val="12"/>
          <w:color w:val="auto"/>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w:t>
      </w:r>
      <w:r>
        <w:rPr>
          <w:rFonts w:ascii="Times New Roman" w:cs="Times New Roman" w:eastAsia="Times New Roman" w:hAnsi="Times New Roman"/>
          <w:sz w:val="12"/>
          <w:szCs w:val="12"/>
          <w:b w:val="1"/>
          <w:bCs w:val="1"/>
          <w:color w:val="auto"/>
        </w:rPr>
        <w:t>EBITDA</w:t>
      </w:r>
      <w:r>
        <w:rPr>
          <w:rFonts w:ascii="Times New Roman" w:cs="Times New Roman" w:eastAsia="Times New Roman" w:hAnsi="Times New Roman"/>
          <w:sz w:val="12"/>
          <w:szCs w:val="12"/>
          <w:color w:val="auto"/>
        </w:rPr>
        <w:t>”);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62" w:name="page63"/>
    <w:bookmarkEnd w:id="62"/>
    <w:p>
      <w:pPr>
        <w:ind w:right="20" w:firstLine="490"/>
        <w:spacing w:after="0" w:line="245" w:lineRule="auto"/>
        <w:rPr>
          <w:sz w:val="20"/>
          <w:szCs w:val="20"/>
          <w:color w:val="auto"/>
        </w:rPr>
      </w:pPr>
      <w:r>
        <w:rPr>
          <w:rFonts w:ascii="Times New Roman" w:cs="Times New Roman" w:eastAsia="Times New Roman" w:hAnsi="Times New Roman"/>
          <w:sz w:val="14"/>
          <w:szCs w:val="14"/>
          <w:color w:val="auto"/>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discussed in this Prospectus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Prospectus or otherwise, whether as a result of new information, future events or otherwise. All forward-looking statements, whether written or oral, attributable to us or persons acting on our behalf, are expressly qualified in their entirety by these cautionary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right="500" w:firstLine="490"/>
        <w:spacing w:after="0" w:line="254" w:lineRule="auto"/>
        <w:rPr>
          <w:sz w:val="20"/>
          <w:szCs w:val="20"/>
          <w:color w:val="auto"/>
        </w:rPr>
      </w:pPr>
      <w:r>
        <w:rPr>
          <w:rFonts w:ascii="Times New Roman" w:cs="Times New Roman" w:eastAsia="Times New Roman" w:hAnsi="Times New Roman"/>
          <w:sz w:val="14"/>
          <w:szCs w:val="14"/>
          <w:color w:val="auto"/>
        </w:rPr>
        <w:t xml:space="preserve">The Corporation is subject to the information requirements of the U.S. Exchange Act, and in accordance therewith files reports and other information with the SEC. Such reports and other information are available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Prospective investors may read and download the documents the Corporation has filed with the SEC’s Electronic Data Gathering and Retrieval system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The Corporation has filed with the SEC under the U.S. Securities Act, a registration statement on Form S-3 relating to the Securities and of which this Prospectus forms a part. This Prospectus does not contain all of the information set forth in such registration statement, certain items of which are contained in the exhibits to the registration statement as permitted or required by the rules and regulations of the SEC. Statements made in this Prospectus as to the contents of any contract, agreement or other document referred to are not necessarily complete, and in each instance, for a complete description of the applicable contract, agreement or other document, reference is made to the exhibits available on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0" w:lineRule="exact"/>
        <w:rPr>
          <w:sz w:val="20"/>
          <w:szCs w:val="20"/>
          <w:color w:val="auto"/>
        </w:rPr>
      </w:pPr>
    </w:p>
    <w:p>
      <w:pPr>
        <w:ind w:right="20" w:firstLine="490"/>
        <w:spacing w:after="0" w:line="293" w:lineRule="auto"/>
        <w:rPr>
          <w:sz w:val="20"/>
          <w:szCs w:val="20"/>
          <w:color w:val="auto"/>
        </w:rPr>
      </w:pPr>
      <w:r>
        <w:rPr>
          <w:rFonts w:ascii="Times New Roman" w:cs="Times New Roman" w:eastAsia="Times New Roman" w:hAnsi="Times New Roman"/>
          <w:sz w:val="12"/>
          <w:szCs w:val="12"/>
          <w:color w:val="auto"/>
        </w:rPr>
        <w:t>The SEC’s rules allow us to “incorporate by reference” into this Prospectus the information in documents we file with the SEC. This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The modifying or superseding statement need not state that it has modified or superseded a prior statement or include any other information set forth in the document that it modifies or supersedes. In other words, in the case of a conflict or inconsistency between information contained in this Prospectus and information incorporated by reference into this Prospectus, you should rely on the information contained in the document that was filed later.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w:t>
      </w: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63" w:name="page64"/>
    <w:bookmarkEnd w:id="63"/>
    <w:p>
      <w:pPr>
        <w:ind w:right="120" w:firstLine="490"/>
        <w:spacing w:after="0" w:line="349" w:lineRule="auto"/>
        <w:rPr>
          <w:sz w:val="20"/>
          <w:szCs w:val="20"/>
          <w:color w:val="auto"/>
        </w:rPr>
      </w:pPr>
      <w:r>
        <w:rPr>
          <w:rFonts w:ascii="Times New Roman" w:cs="Times New Roman" w:eastAsia="Times New Roman" w:hAnsi="Times New Roman"/>
          <w:sz w:val="12"/>
          <w:szCs w:val="12"/>
          <w:color w:val="auto"/>
        </w:rPr>
        <w:t>We incorporate by reference the documents listed below and all documents which we subsequently file with the SEC (other than, in each case, documents or information deemed to have been furnished and not filed in accordance with the SEC rules) pursuant to Section 13(a), 13(c), 14, or 15(d) of the U.S. Exchange Act until the termination of the offering of the Securities under this Prospectus:</w:t>
      </w:r>
    </w:p>
    <w:p>
      <w:pPr>
        <w:spacing w:after="0" w:line="85" w:lineRule="exact"/>
        <w:rPr>
          <w:sz w:val="20"/>
          <w:szCs w:val="20"/>
          <w:color w:val="auto"/>
        </w:rPr>
      </w:pPr>
    </w:p>
    <w:p>
      <w:pPr>
        <w:ind w:left="980" w:hanging="488"/>
        <w:spacing w:after="0" w:line="198" w:lineRule="auto"/>
        <w:tabs>
          <w:tab w:leader="none" w:pos="980" w:val="left"/>
        </w:tabs>
        <w:numPr>
          <w:ilvl w:val="0"/>
          <w:numId w:val="33"/>
        </w:numPr>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u w:val="single" w:color="auto"/>
            <w:color w:val="0000EE"/>
          </w:rPr>
          <w:t>Annual Report on Form 10-K for the fiscal year ended December 31, 2024, filed on February 14,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w:t>
        </w:r>
        <w:r>
          <w:rPr>
            <w:rFonts w:ascii="Times New Roman" w:cs="Times New Roman" w:eastAsia="Times New Roman" w:hAnsi="Times New Roman"/>
            <w:sz w:val="14"/>
            <w:szCs w:val="14"/>
            <w:b w:val="1"/>
            <w:bCs w:val="1"/>
            <w:color w:val="000000"/>
          </w:rPr>
          <w:t>Annual Report</w:t>
        </w:r>
        <w:r>
          <w:rPr>
            <w:rFonts w:ascii="Times New Roman" w:cs="Times New Roman" w:eastAsia="Times New Roman" w:hAnsi="Times New Roman"/>
            <w:sz w:val="14"/>
            <w:szCs w:val="14"/>
            <w:color w:val="000000"/>
          </w:rPr>
          <w:t>”), as amended by</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Amendment No. 1 on Form 10-K/A, filed on</w:t>
        </w:r>
      </w:hyperlink>
      <w:r>
        <w:rPr>
          <w:rFonts w:ascii="Times New Roman" w:cs="Times New Roman" w:eastAsia="Times New Roman" w:hAnsi="Times New Roman"/>
          <w:sz w:val="14"/>
          <w:szCs w:val="14"/>
          <w:color w:val="0000EE"/>
        </w:rPr>
        <w:t xml:space="preserve"> </w:t>
      </w:r>
      <w:hyperlink r:id="rId84">
        <w:r>
          <w:rPr>
            <w:rFonts w:ascii="Times New Roman" w:cs="Times New Roman" w:eastAsia="Times New Roman" w:hAnsi="Times New Roman"/>
            <w:sz w:val="14"/>
            <w:szCs w:val="14"/>
            <w:u w:val="single" w:color="auto"/>
            <w:color w:val="0000EE"/>
          </w:rPr>
          <w:t>March 11,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to the Annual Report;</w:t>
        </w:r>
      </w:hyperlink>
    </w:p>
    <w:p>
      <w:pPr>
        <w:spacing w:after="0" w:line="74" w:lineRule="exact"/>
        <w:rPr>
          <w:rFonts w:ascii="Times New Roman" w:cs="Times New Roman" w:eastAsia="Times New Roman" w:hAnsi="Times New Roman"/>
          <w:sz w:val="14"/>
          <w:szCs w:val="14"/>
          <w:color w:val="0000EE"/>
        </w:rPr>
      </w:pPr>
    </w:p>
    <w:p>
      <w:pPr>
        <w:ind w:left="980" w:hanging="488"/>
        <w:spacing w:after="0"/>
        <w:tabs>
          <w:tab w:leader="none" w:pos="980" w:val="left"/>
        </w:tabs>
        <w:numPr>
          <w:ilvl w:val="0"/>
          <w:numId w:val="33"/>
        </w:numPr>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u w:val="single" w:color="auto"/>
            <w:color w:val="0000EE"/>
          </w:rPr>
          <w:t>Quarterly Report on Form 10-Q for the quarterly period ended March 31, 2025, filed on May 9, 2025</w:t>
        </w:r>
      </w:hyperlink>
      <w:r>
        <w:rPr>
          <w:rFonts w:ascii="Times New Roman" w:cs="Times New Roman" w:eastAsia="Times New Roman" w:hAnsi="Times New Roman"/>
          <w:sz w:val="14"/>
          <w:szCs w:val="14"/>
          <w:color w:val="000000"/>
        </w:rPr>
        <w:t>;</w:t>
      </w:r>
    </w:p>
    <w:p>
      <w:pPr>
        <w:spacing w:after="0" w:line="106" w:lineRule="exact"/>
        <w:rPr>
          <w:rFonts w:ascii="Times New Roman" w:cs="Times New Roman" w:eastAsia="Times New Roman" w:hAnsi="Times New Roman"/>
          <w:sz w:val="14"/>
          <w:szCs w:val="14"/>
          <w:color w:val="0000EE"/>
        </w:rPr>
      </w:pPr>
    </w:p>
    <w:p>
      <w:pPr>
        <w:ind w:left="980" w:hanging="488"/>
        <w:spacing w:after="0" w:line="208" w:lineRule="auto"/>
        <w:tabs>
          <w:tab w:leader="none" w:pos="980" w:val="left"/>
        </w:tabs>
        <w:numPr>
          <w:ilvl w:val="0"/>
          <w:numId w:val="33"/>
        </w:numPr>
        <w:rPr>
          <w:rFonts w:ascii="Times New Roman" w:cs="Times New Roman" w:eastAsia="Times New Roman" w:hAnsi="Times New Roman"/>
          <w:sz w:val="14"/>
          <w:szCs w:val="14"/>
          <w:u w:val="single" w:color="auto"/>
          <w:color w:val="0000EE"/>
        </w:rPr>
      </w:pPr>
      <w:hyperlink r:id="rId86">
        <w:r>
          <w:rPr>
            <w:rFonts w:ascii="Times New Roman" w:cs="Times New Roman" w:eastAsia="Times New Roman" w:hAnsi="Times New Roman"/>
            <w:sz w:val="14"/>
            <w:szCs w:val="14"/>
            <w:u w:val="single" w:color="auto"/>
            <w:color w:val="0000EE"/>
          </w:rPr>
          <w:t>Quarterly Report on Form 10-Q for the quarterly period ended June 30, 2025, filed on August 1, 2025;</w:t>
        </w:r>
      </w:hyperlink>
    </w:p>
    <w:p>
      <w:pPr>
        <w:spacing w:after="0" w:line="152" w:lineRule="exact"/>
        <w:rPr>
          <w:rFonts w:ascii="Times New Roman" w:cs="Times New Roman" w:eastAsia="Times New Roman" w:hAnsi="Times New Roman"/>
          <w:sz w:val="14"/>
          <w:szCs w:val="14"/>
          <w:u w:val="single" w:color="auto"/>
          <w:color w:val="0000EE"/>
        </w:rPr>
      </w:pPr>
    </w:p>
    <w:p>
      <w:pPr>
        <w:ind w:left="980" w:right="100" w:hanging="488"/>
        <w:spacing w:after="0" w:line="196"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(or Form 8-K/A) filed on </w:t>
      </w:r>
      <w:hyperlink r:id="rId87">
        <w:r>
          <w:rPr>
            <w:rFonts w:ascii="Times New Roman" w:cs="Times New Roman" w:eastAsia="Times New Roman" w:hAnsi="Times New Roman"/>
            <w:sz w:val="14"/>
            <w:szCs w:val="14"/>
            <w:u w:val="single" w:color="auto"/>
            <w:color w:val="0000EE"/>
          </w:rPr>
          <w:t>February 14,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accession number 0001193125-25-027290</w:t>
      </w:r>
      <w:r>
        <w:rPr>
          <w:rFonts w:ascii="Times New Roman" w:cs="Times New Roman" w:eastAsia="Times New Roman" w:hAnsi="Times New Roman"/>
          <w:sz w:val="14"/>
          <w:szCs w:val="14"/>
          <w:color w:val="auto"/>
        </w:rPr>
        <w:t xml:space="preserve">), </w:t>
      </w:r>
      <w:hyperlink r:id="rId88">
        <w:r>
          <w:rPr>
            <w:rFonts w:ascii="Times New Roman" w:cs="Times New Roman" w:eastAsia="Times New Roman" w:hAnsi="Times New Roman"/>
            <w:sz w:val="14"/>
            <w:szCs w:val="14"/>
            <w:u w:val="single" w:color="auto"/>
            <w:color w:val="0000EE"/>
          </w:rPr>
          <w:t>March 11, 2025</w:t>
        </w:r>
      </w:hyperlink>
      <w:r>
        <w:rPr>
          <w:rFonts w:ascii="Times New Roman" w:cs="Times New Roman" w:eastAsia="Times New Roman" w:hAnsi="Times New Roman"/>
          <w:sz w:val="14"/>
          <w:szCs w:val="14"/>
          <w:color w:val="auto"/>
        </w:rPr>
        <w:t xml:space="preserve">, </w:t>
      </w:r>
      <w:hyperlink r:id="rId89">
        <w:r>
          <w:rPr>
            <w:rFonts w:ascii="Times New Roman" w:cs="Times New Roman" w:eastAsia="Times New Roman" w:hAnsi="Times New Roman"/>
            <w:sz w:val="14"/>
            <w:szCs w:val="14"/>
            <w:u w:val="single" w:color="auto"/>
            <w:color w:val="0000EE"/>
          </w:rPr>
          <w:t>March 21, 2025</w:t>
        </w:r>
      </w:hyperlink>
      <w:r>
        <w:rPr>
          <w:rFonts w:ascii="Times New Roman" w:cs="Times New Roman" w:eastAsia="Times New Roman" w:hAnsi="Times New Roman"/>
          <w:sz w:val="14"/>
          <w:szCs w:val="14"/>
          <w:color w:val="auto"/>
        </w:rPr>
        <w:t xml:space="preserve">, </w:t>
      </w:r>
      <w:hyperlink r:id="rId90">
        <w:r>
          <w:rPr>
            <w:rFonts w:ascii="Times New Roman" w:cs="Times New Roman" w:eastAsia="Times New Roman" w:hAnsi="Times New Roman"/>
            <w:sz w:val="14"/>
            <w:szCs w:val="14"/>
            <w:u w:val="single" w:color="auto"/>
            <w:color w:val="0000EE"/>
          </w:rPr>
          <w:t>May 8,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1">
        <w:r>
          <w:rPr>
            <w:rFonts w:ascii="Times New Roman" w:cs="Times New Roman" w:eastAsia="Times New Roman" w:hAnsi="Times New Roman"/>
            <w:sz w:val="14"/>
            <w:szCs w:val="14"/>
            <w:u w:val="single" w:color="auto"/>
            <w:color w:val="0000EE"/>
          </w:rPr>
          <w:t>June 20, 2025</w:t>
        </w:r>
      </w:hyperlink>
      <w:r>
        <w:rPr>
          <w:rFonts w:ascii="Times New Roman" w:cs="Times New Roman" w:eastAsia="Times New Roman" w:hAnsi="Times New Roman"/>
          <w:sz w:val="14"/>
          <w:szCs w:val="14"/>
          <w:color w:val="auto"/>
        </w:rPr>
        <w:t>; and</w:t>
      </w:r>
    </w:p>
    <w:p>
      <w:pPr>
        <w:spacing w:after="0" w:line="152" w:lineRule="exact"/>
        <w:rPr>
          <w:rFonts w:ascii="Times New Roman" w:cs="Times New Roman" w:eastAsia="Times New Roman" w:hAnsi="Times New Roman"/>
          <w:sz w:val="14"/>
          <w:szCs w:val="14"/>
          <w:color w:val="auto"/>
        </w:rPr>
      </w:pPr>
    </w:p>
    <w:p>
      <w:pPr>
        <w:ind w:left="980" w:right="140" w:hanging="488"/>
        <w:spacing w:after="0" w:line="196"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Enbridge share capital contained in the registration statement on </w:t>
      </w:r>
      <w:hyperlink r:id="rId92">
        <w:r>
          <w:rPr>
            <w:rFonts w:ascii="Times New Roman" w:cs="Times New Roman" w:eastAsia="Times New Roman" w:hAnsi="Times New Roman"/>
            <w:sz w:val="14"/>
            <w:szCs w:val="14"/>
            <w:u w:val="single" w:color="auto"/>
            <w:color w:val="0000EE"/>
          </w:rPr>
          <w:t>Form F-10, filed on September 15, 2017</w:t>
        </w:r>
      </w:hyperlink>
      <w:r>
        <w:rPr>
          <w:rFonts w:ascii="Times New Roman" w:cs="Times New Roman" w:eastAsia="Times New Roman" w:hAnsi="Times New Roman"/>
          <w:sz w:val="14"/>
          <w:szCs w:val="14"/>
          <w:color w:val="auto"/>
        </w:rPr>
        <w:t>, and any other amendments or reports filed for the purpose of updating that description.</w:t>
      </w:r>
    </w:p>
    <w:p>
      <w:pPr>
        <w:spacing w:after="0" w:line="152" w:lineRule="exact"/>
        <w:rPr>
          <w:rFonts w:ascii="Times New Roman" w:cs="Times New Roman" w:eastAsia="Times New Roman" w:hAnsi="Times New Roman"/>
          <w:sz w:val="14"/>
          <w:szCs w:val="14"/>
          <w:color w:val="auto"/>
        </w:rPr>
      </w:pPr>
    </w:p>
    <w:p>
      <w:pPr>
        <w:jc w:val="both"/>
        <w:ind w:right="20" w:firstLine="490"/>
        <w:spacing w:after="0" w:line="254" w:lineRule="auto"/>
        <w:rPr>
          <w:sz w:val="20"/>
          <w:szCs w:val="20"/>
          <w:color w:val="auto"/>
        </w:rPr>
      </w:pPr>
      <w:r>
        <w:rPr>
          <w:rFonts w:ascii="Times New Roman" w:cs="Times New Roman" w:eastAsia="Times New Roman" w:hAnsi="Times New Roman"/>
          <w:sz w:val="14"/>
          <w:szCs w:val="14"/>
          <w:color w:val="auto"/>
        </w:rPr>
        <w:t>Copies of the documents incorporated herein by reference may be obtained, upon written or oral request, without charge from the Corporate Secretary of Enbridge, Suite 200, 425—1st Street S.W., Calgary, Alberta, T2P 3L8 (telephone 1-403-231-3900). Documents that we file with or furnish to the SEC are also available on the website maintained by the SEC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This site contains reports, proxy and information statements and other information regarding issuers that file electronically with the SEC. The information on that website is not part of this Prospectus.</w:t>
      </w:r>
    </w:p>
    <w:p>
      <w:pPr>
        <w:spacing w:after="0" w:line="13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CORPORATION</w:t>
      </w:r>
    </w:p>
    <w:p>
      <w:pPr>
        <w:spacing w:after="0" w:line="170" w:lineRule="exact"/>
        <w:rPr>
          <w:rFonts w:ascii="Times New Roman" w:cs="Times New Roman" w:eastAsia="Times New Roman" w:hAnsi="Times New Roman"/>
          <w:sz w:val="14"/>
          <w:szCs w:val="14"/>
          <w:color w:val="auto"/>
        </w:rPr>
      </w:pPr>
    </w:p>
    <w:p>
      <w:pPr>
        <w:ind w:right="100" w:firstLine="490"/>
        <w:spacing w:after="0" w:line="305" w:lineRule="auto"/>
        <w:rPr>
          <w:sz w:val="20"/>
          <w:szCs w:val="20"/>
          <w:color w:val="auto"/>
        </w:rPr>
      </w:pPr>
      <w:r>
        <w:rPr>
          <w:rFonts w:ascii="Times New Roman" w:cs="Times New Roman" w:eastAsia="Times New Roman" w:hAnsi="Times New Roman"/>
          <w:sz w:val="12"/>
          <w:szCs w:val="12"/>
          <w:color w:val="auto"/>
        </w:rPr>
        <w:t>Enbridge is a leading North American energy infrastructure company. The Corporation’s core businesses include Liquids Pipelines, which consists of pipelines and terminals in Canada and the United States that transport and export various grades of crude oil and other liquid hydrocarbons; Gas Transmission, which consists of investments in natural gas pipelines and gathering and processing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assets, as well as geothermal and power transmission assets, in North America and Europe.</w:t>
      </w:r>
    </w:p>
    <w:p>
      <w:pPr>
        <w:spacing w:after="0" w:line="116" w:lineRule="exact"/>
        <w:rPr>
          <w:rFonts w:ascii="Times New Roman" w:cs="Times New Roman" w:eastAsia="Times New Roman" w:hAnsi="Times New Roman"/>
          <w:sz w:val="14"/>
          <w:szCs w:val="14"/>
          <w:color w:val="auto"/>
        </w:rPr>
      </w:pPr>
    </w:p>
    <w:p>
      <w:pPr>
        <w:ind w:right="40" w:firstLine="490"/>
        <w:spacing w:after="0" w:line="254" w:lineRule="auto"/>
        <w:rPr>
          <w:sz w:val="20"/>
          <w:szCs w:val="20"/>
          <w:color w:val="auto"/>
        </w:rPr>
      </w:pPr>
      <w:r>
        <w:rPr>
          <w:rFonts w:ascii="Times New Roman" w:cs="Times New Roman" w:eastAsia="Times New Roman" w:hAnsi="Times New Roman"/>
          <w:sz w:val="14"/>
          <w:szCs w:val="14"/>
          <w:color w:val="auto"/>
        </w:rPr>
        <w:t xml:space="preserve">Enbridge is a public company, with common shares that trade on the Toronto Stock Exchange and the New York Stock Exchange under the symbol “ENB”. The Corporation was incorporated under the </w:t>
      </w:r>
      <w:r>
        <w:rPr>
          <w:rFonts w:ascii="Times New Roman" w:cs="Times New Roman" w:eastAsia="Times New Roman" w:hAnsi="Times New Roman"/>
          <w:sz w:val="14"/>
          <w:szCs w:val="14"/>
          <w:i w:val="1"/>
          <w:iCs w:val="1"/>
          <w:color w:val="auto"/>
        </w:rPr>
        <w:t>Companies Ordinance</w:t>
      </w:r>
      <w:r>
        <w:rPr>
          <w:rFonts w:ascii="Times New Roman" w:cs="Times New Roman" w:eastAsia="Times New Roman" w:hAnsi="Times New Roman"/>
          <w:sz w:val="14"/>
          <w:szCs w:val="14"/>
          <w:color w:val="auto"/>
        </w:rPr>
        <w:t xml:space="preserve"> of the Northwest Territories on April 13, 1970 and was continued under the </w:t>
      </w:r>
      <w:r>
        <w:rPr>
          <w:rFonts w:ascii="Times New Roman" w:cs="Times New Roman" w:eastAsia="Times New Roman" w:hAnsi="Times New Roman"/>
          <w:sz w:val="14"/>
          <w:szCs w:val="14"/>
          <w:i w:val="1"/>
          <w:iCs w:val="1"/>
          <w:color w:val="auto"/>
        </w:rPr>
        <w:t>Canada Business Corporations Act</w:t>
      </w:r>
      <w:r>
        <w:rPr>
          <w:rFonts w:ascii="Times New Roman" w:cs="Times New Roman" w:eastAsia="Times New Roman" w:hAnsi="Times New Roman"/>
          <w:sz w:val="14"/>
          <w:szCs w:val="14"/>
          <w:color w:val="auto"/>
        </w:rPr>
        <w:t xml:space="preserve"> on December 15, 1987. Enbridge’s principal executive offices are located at Suite 200, 425—1st Street S.W., Calgary, Alberta, Canada T2P 3L8, and its telephone number is 1-403-231-3900.</w:t>
      </w:r>
    </w:p>
    <w:p>
      <w:pPr>
        <w:spacing w:after="0" w:line="13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rFonts w:ascii="Times New Roman" w:cs="Times New Roman" w:eastAsia="Times New Roman" w:hAnsi="Times New Roman"/>
          <w:sz w:val="14"/>
          <w:szCs w:val="14"/>
          <w:color w:val="auto"/>
        </w:rPr>
      </w:pPr>
    </w:p>
    <w:p>
      <w:pPr>
        <w:ind w:firstLine="490"/>
        <w:spacing w:after="0" w:line="248" w:lineRule="auto"/>
        <w:rPr>
          <w:sz w:val="20"/>
          <w:szCs w:val="20"/>
          <w:color w:val="auto"/>
        </w:rPr>
      </w:pPr>
      <w:r>
        <w:rPr>
          <w:rFonts w:ascii="Times New Roman" w:cs="Times New Roman" w:eastAsia="Times New Roman" w:hAnsi="Times New Roman"/>
          <w:sz w:val="14"/>
          <w:szCs w:val="14"/>
          <w:color w:val="auto"/>
        </w:rPr>
        <w:t>Investment in the Securities is subject to various risks. Before deciding whether to invest in any Securities, in addition to the other information included in, or incorporated by reference into, this Prospectus, you should carefully consider the risk factors contained in Item 1A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the Annual Report, which is incorporated by reference into this Prospectus, as updated by our annual or quarterly reports for subsequent fiscal years or fiscal quarters that we file with the SEC and that are so incorporated.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31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right="160" w:firstLine="490"/>
        <w:spacing w:after="0" w:line="250" w:lineRule="auto"/>
        <w:rPr>
          <w:sz w:val="20"/>
          <w:szCs w:val="20"/>
          <w:color w:val="auto"/>
        </w:rPr>
      </w:pPr>
      <w:r>
        <w:rPr>
          <w:rFonts w:ascii="Times New Roman" w:cs="Times New Roman" w:eastAsia="Times New Roman" w:hAnsi="Times New Roman"/>
          <w:sz w:val="14"/>
          <w:szCs w:val="14"/>
          <w:color w:val="auto"/>
        </w:rPr>
        <w:t>Unless otherwise specified in a Prospectus Supplement, the net proceeds from the sale of the Securities will be added to the general funds of the Corporation to be used for general corporate purposes, which may include reducing outstanding indebtedness and financing capital expenditures, investments and working capital requirements of the Corporation. Specific information about the use of proceeds from the sale of any Securities will be set forth in a Prospectus Supplement. The Corporation may invest funds that it does not immediately require in short-term marketable debt securities. The Corporation expects that it may, from time to time, issue securities other than pursuant to this Prospectus.</w:t>
      </w:r>
    </w:p>
    <w:p>
      <w:pPr>
        <w:spacing w:after="0" w:line="146" w:lineRule="exact"/>
        <w:rPr>
          <w:sz w:val="20"/>
          <w:szCs w:val="20"/>
          <w:color w:val="auto"/>
        </w:rPr>
      </w:pPr>
    </w:p>
    <w:p>
      <w:pPr>
        <w:ind w:right="680" w:firstLine="490"/>
        <w:spacing w:after="0" w:line="264" w:lineRule="auto"/>
        <w:rPr>
          <w:sz w:val="20"/>
          <w:szCs w:val="20"/>
          <w:color w:val="auto"/>
        </w:rPr>
      </w:pPr>
      <w:r>
        <w:rPr>
          <w:rFonts w:ascii="Times New Roman" w:cs="Times New Roman" w:eastAsia="Times New Roman" w:hAnsi="Times New Roman"/>
          <w:sz w:val="14"/>
          <w:szCs w:val="14"/>
          <w:color w:val="auto"/>
        </w:rPr>
        <w:t>The net proceeds to be received by the Corporation from the sale of the Securities from time to time under this Prospectus are not expected to be applied to fund any specific project. The Corporation’s overall corporate strategy and major initiatives supporting its strategy are summarized in the Annual Report, which is incorporated by reference herein.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 AND GUARANTEES</w:t>
      </w:r>
    </w:p>
    <w:p>
      <w:pPr>
        <w:spacing w:after="0" w:line="16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14"/>
          <w:szCs w:val="14"/>
          <w:color w:val="auto"/>
        </w:rPr>
        <w:t>In this section, the terms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Enbridge</w:t>
      </w:r>
      <w:r>
        <w:rPr>
          <w:rFonts w:ascii="Times New Roman" w:cs="Times New Roman" w:eastAsia="Times New Roman" w:hAnsi="Times New Roman"/>
          <w:sz w:val="14"/>
          <w:szCs w:val="14"/>
          <w:color w:val="auto"/>
        </w:rPr>
        <w:t>” refer only to Enbridge Inc. and not to its subsidiaries, partnerships interests or joint venture investments. The following description sets forth certain general terms and provisions of the debt securities and guarantees. The Corporation will provide particular terms and provisions of a series of debt securities and a description of how the general terms and provisions described below may apply to that series in a Prospectus Supplement. Prospective investors should rely on information in the applicable Prospectus Supplement if it is different from the following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6"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14"/>
          <w:szCs w:val="14"/>
          <w:color w:val="auto"/>
        </w:rPr>
        <w:t>The debt securities will be issued under an indenture dated February 25, 2005, as amended and supplemented from time to time (the indenture as amended and supplemented,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between Enbridge, SEP, a wholly owned subsidiary of Enbridge, as guarantor, EEP, a wholly owned subsidiary of Enbridge, as guarantor (each of SEP and EEP a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and Deutsche Bank Trust Company Americas, as trustee. Debt securities issued under the Indenture will not be offered or sold to persons in Canada pursuant to this Prospectus. The following summary of certain provisions of the Indenture and the debt securities issued thereunder does not purport to be complete and is qualified in its entirety by reference to the actual provisions of the Indenture.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Corporation may issue debt securities and incur additional indebtedness other than through an offering of debt securities pursuant to this Prospectus.</w:t>
      </w:r>
    </w:p>
    <w:p>
      <w:pPr>
        <w:spacing w:after="0" w:line="166"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debt securities which may be issued under the Indenture or otherwise. The Indenture provides that debt securities will be in registered form, may be issued from time to time in one or more series and may be denominated and payable in U.S. dollars or any other currency. Unless otherwise specified in the applicable Prospectus Supplement, debt securities may be issued in whole or in part in a global form and will be registered in the name of and be deposited with The Depository Trust Company or its nominee, Cede &amp; Co. Unless otherwise indicated in an applicable Prospectus Supplement, the debt securities will be issuable in denominations of US$1,000 and integral multiples of US$1,000, or in such other denominations as may be set out in the terms of the debt securities of any particular series.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ind w:right="60" w:firstLine="490"/>
        <w:spacing w:after="0" w:line="264" w:lineRule="auto"/>
        <w:rPr>
          <w:sz w:val="20"/>
          <w:szCs w:val="20"/>
          <w:color w:val="auto"/>
        </w:rPr>
      </w:pPr>
      <w:r>
        <w:rPr>
          <w:rFonts w:ascii="Times New Roman" w:cs="Times New Roman" w:eastAsia="Times New Roman" w:hAnsi="Times New Roman"/>
          <w:sz w:val="14"/>
          <w:szCs w:val="14"/>
          <w:color w:val="auto"/>
        </w:rPr>
        <w:t>Material Canadian and United States federal income tax considerations applicable to any debt securities, and special tax considerations applicable to the debt securities denominated in a currency or currency unit other than Canadian or U.S. dollars, will be described in the Prospectus Supplement relating to the offering of debt securities.</w:t>
      </w:r>
    </w:p>
    <w:p>
      <w:pPr>
        <w:spacing w:after="0" w:line="13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Unless otherwise indicated in an applicable Prospectus Supplement, the debt securities will be unsecured obligations and will rank equally with all of the Corporation’s other unsecured and unsubordinated indebtedness and will be guaranteed by both Guarantors. See “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below. Enbridge is a holding company that conducts substantially all of its operations and holds substantially all of its assets through its subsidiaries. As at June 30, 2025, the long-term debt (excluding the current portion, as well as guarantees and intercompany obligations between the Corporation and its subsidiaries) of Enbridge and its subsidiaries totaled approximately $96.6 billion, of which approximately $36.5 billion is subsidiary debt. The debt securities issued under this Prospectus will be structurally subordinated to all existing and future liabilities, including trade payables and other indebtedness, of Enbridge’s subsidiaries other than the Guarantors with respect to any guaranteed debt securities. The Indenture does not limit the incurrence of indebtedness and issuance of preferred stock of or by Enbridge’s subsidiaries.</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65" w:name="page66"/>
    <w:bookmarkEnd w:id="65"/>
    <w:p>
      <w:pPr>
        <w:ind w:right="240" w:firstLine="490"/>
        <w:spacing w:after="0" w:line="352" w:lineRule="auto"/>
        <w:rPr>
          <w:sz w:val="20"/>
          <w:szCs w:val="20"/>
          <w:color w:val="auto"/>
        </w:rPr>
      </w:pPr>
      <w:r>
        <w:rPr>
          <w:rFonts w:ascii="Times New Roman" w:cs="Times New Roman" w:eastAsia="Times New Roman" w:hAnsi="Times New Roman"/>
          <w:sz w:val="12"/>
          <w:szCs w:val="12"/>
          <w:color w:val="auto"/>
        </w:rPr>
        <w:t>The Indenture has been filed as an exhibit to the registration statement of which this Prospectus is a part and is available as described above under “</w:t>
      </w:r>
      <w:r>
        <w:rPr>
          <w:rFonts w:ascii="Times New Roman" w:cs="Times New Roman" w:eastAsia="Times New Roman" w:hAnsi="Times New Roman"/>
          <w:sz w:val="12"/>
          <w:szCs w:val="12"/>
          <w:i w:val="1"/>
          <w:iCs w:val="1"/>
          <w:color w:val="auto"/>
        </w:rPr>
        <w:t>Where You Can Find More Information</w:t>
      </w:r>
      <w:r>
        <w:rPr>
          <w:rFonts w:ascii="Times New Roman" w:cs="Times New Roman" w:eastAsia="Times New Roman" w:hAnsi="Times New Roman"/>
          <w:sz w:val="12"/>
          <w:szCs w:val="12"/>
          <w:color w:val="auto"/>
        </w:rPr>
        <w:t>”. The Indenture will be described in a Prospectus Supplement for such debt securities. For further details, prospective investors should refer to the Indenture and the applicable Prospectus Supplement.</w:t>
      </w:r>
    </w:p>
    <w:p>
      <w:pPr>
        <w:spacing w:after="0" w:line="87" w:lineRule="exact"/>
        <w:rPr>
          <w:sz w:val="20"/>
          <w:szCs w:val="20"/>
          <w:color w:val="auto"/>
        </w:rPr>
      </w:pPr>
    </w:p>
    <w:p>
      <w:pPr>
        <w:ind w:right="60" w:firstLine="490"/>
        <w:spacing w:after="0" w:line="264" w:lineRule="auto"/>
        <w:rPr>
          <w:sz w:val="20"/>
          <w:szCs w:val="20"/>
          <w:color w:val="auto"/>
        </w:rPr>
      </w:pPr>
      <w:r>
        <w:rPr>
          <w:rFonts w:ascii="Times New Roman" w:cs="Times New Roman" w:eastAsia="Times New Roman" w:hAnsi="Times New Roman"/>
          <w:sz w:val="14"/>
          <w:szCs w:val="14"/>
          <w:color w:val="auto"/>
        </w:rPr>
        <w:t>Debt securities may also be issued under new supplemental indentures between us and a trustee or trustees as will be described in a Prospectus Supplement for such debt securities. The Corporation may issue debt securities and incur additional indebtedness other than through the offering of debt securities pursuant to this Prospectus.</w:t>
      </w:r>
    </w:p>
    <w:p>
      <w:pPr>
        <w:spacing w:after="0" w:line="136" w:lineRule="exact"/>
        <w:rPr>
          <w:sz w:val="20"/>
          <w:szCs w:val="20"/>
          <w:color w:val="auto"/>
        </w:rPr>
      </w:pPr>
    </w:p>
    <w:p>
      <w:pPr>
        <w:ind w:right="260" w:firstLine="490"/>
        <w:spacing w:after="0" w:line="264" w:lineRule="auto"/>
        <w:rPr>
          <w:sz w:val="20"/>
          <w:szCs w:val="20"/>
          <w:color w:val="auto"/>
        </w:rPr>
      </w:pPr>
      <w:r>
        <w:rPr>
          <w:rFonts w:ascii="Times New Roman" w:cs="Times New Roman" w:eastAsia="Times New Roman" w:hAnsi="Times New Roman"/>
          <w:sz w:val="14"/>
          <w:szCs w:val="14"/>
          <w:color w:val="auto"/>
        </w:rPr>
        <w:t>The Prospectus Supplement will set forth additional terms relating to the debt securities being offered, including covenants, events of default, provisions for payments of additional amounts and redemption provisions.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Prospectus Supplement will also set forth the following terms relating to the debt securities being offered:</w:t>
      </w:r>
    </w:p>
    <w:p>
      <w:pPr>
        <w:spacing w:after="0" w:line="88" w:lineRule="exact"/>
        <w:rPr>
          <w:sz w:val="20"/>
          <w:szCs w:val="20"/>
          <w:color w:val="auto"/>
        </w:rPr>
      </w:pPr>
    </w:p>
    <w:p>
      <w:pPr>
        <w:ind w:left="980" w:hanging="488"/>
        <w:spacing w:after="0"/>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title of the debt securities of the series;</w:t>
      </w:r>
    </w:p>
    <w:p>
      <w:pPr>
        <w:spacing w:after="0" w:line="106"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any limit upon the aggregate principal amount of the debt securities of the series;</w:t>
      </w:r>
    </w:p>
    <w:p>
      <w:pPr>
        <w:spacing w:after="0" w:line="107"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party to whom any interest on a debt security of the series shall be payable;</w:t>
      </w:r>
    </w:p>
    <w:p>
      <w:pPr>
        <w:spacing w:after="0" w:line="107"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date or dates on which the principal of (and premium, if any, on) any debt securities of the series is payable;</w:t>
      </w:r>
    </w:p>
    <w:p>
      <w:pPr>
        <w:spacing w:after="0" w:line="152" w:lineRule="exact"/>
        <w:rPr>
          <w:rFonts w:ascii="Times New Roman" w:cs="Times New Roman" w:eastAsia="Times New Roman" w:hAnsi="Times New Roman"/>
          <w:sz w:val="22"/>
          <w:szCs w:val="22"/>
          <w:color w:val="auto"/>
          <w:vertAlign w:val="superscript"/>
        </w:rPr>
      </w:pPr>
    </w:p>
    <w:p>
      <w:pPr>
        <w:ind w:left="980" w:right="120" w:hanging="488"/>
        <w:spacing w:after="0" w:line="196"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rate or rates at which the debt securities will bear interest, if any, the date or dates from which any interest will accrue, the interest payment dates on which interest will be payable and the regular record date for interest payable on any interest payment date;</w:t>
      </w:r>
    </w:p>
    <w:p>
      <w:pPr>
        <w:spacing w:after="0" w:line="74"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place or places where principal and any premium and interest are payable;</w:t>
      </w:r>
    </w:p>
    <w:p>
      <w:pPr>
        <w:spacing w:after="0" w:line="151" w:lineRule="exact"/>
        <w:rPr>
          <w:rFonts w:ascii="Times New Roman" w:cs="Times New Roman" w:eastAsia="Times New Roman" w:hAnsi="Times New Roman"/>
          <w:sz w:val="22"/>
          <w:szCs w:val="22"/>
          <w:color w:val="auto"/>
          <w:vertAlign w:val="superscript"/>
        </w:rPr>
      </w:pPr>
    </w:p>
    <w:p>
      <w:pPr>
        <w:ind w:left="980" w:right="20" w:hanging="488"/>
        <w:spacing w:after="0" w:line="196"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period or periods if any within which, the price or prices at which, the currency or currency units in which and the terms and conditions upon which any debt securities of the series may be redeemed, in whole or in part, at the option of the Corporation;</w:t>
      </w:r>
    </w:p>
    <w:p>
      <w:pPr>
        <w:spacing w:after="0" w:line="152" w:lineRule="exact"/>
        <w:rPr>
          <w:rFonts w:ascii="Times New Roman" w:cs="Times New Roman" w:eastAsia="Times New Roman" w:hAnsi="Times New Roman"/>
          <w:sz w:val="22"/>
          <w:szCs w:val="22"/>
          <w:color w:val="auto"/>
          <w:vertAlign w:val="superscript"/>
        </w:rPr>
      </w:pPr>
    </w:p>
    <w:p>
      <w:pPr>
        <w:ind w:left="980" w:right="160" w:hanging="488"/>
        <w:spacing w:after="0" w:line="196"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obligation, if any, of the Corporation to redeem or purchase any debt securities of the series pursuant to any sinking fund or analogous provisions or at the option of the holder thereof and the terms and conditions upon which debt securities of the series may be redeemed or purchased, in whole or in part pursuant to such obligation;</w:t>
      </w:r>
    </w:p>
    <w:p>
      <w:pPr>
        <w:spacing w:after="0" w:line="74"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other than denominations of $1,000 and any integral multiples of $1,000, the denominations in which the debt securities are issuable;</w:t>
      </w:r>
    </w:p>
    <w:p>
      <w:pPr>
        <w:spacing w:after="0" w:line="151" w:lineRule="exact"/>
        <w:rPr>
          <w:rFonts w:ascii="Times New Roman" w:cs="Times New Roman" w:eastAsia="Times New Roman" w:hAnsi="Times New Roman"/>
          <w:sz w:val="22"/>
          <w:szCs w:val="22"/>
          <w:color w:val="auto"/>
          <w:vertAlign w:val="superscript"/>
        </w:rPr>
      </w:pPr>
    </w:p>
    <w:p>
      <w:pPr>
        <w:ind w:left="980" w:hanging="488"/>
        <w:spacing w:after="0" w:line="196"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the amount of principal of or any premium or interest on any debt securities of the series may be determined with reference to an index or pursuant to a formula, the manner in which such amounts shall be determined;</w:t>
      </w:r>
    </w:p>
    <w:p>
      <w:pPr>
        <w:spacing w:after="0" w:line="152" w:lineRule="exact"/>
        <w:rPr>
          <w:rFonts w:ascii="Times New Roman" w:cs="Times New Roman" w:eastAsia="Times New Roman" w:hAnsi="Times New Roman"/>
          <w:sz w:val="22"/>
          <w:szCs w:val="22"/>
          <w:color w:val="auto"/>
          <w:vertAlign w:val="superscript"/>
        </w:rPr>
      </w:pPr>
    </w:p>
    <w:p>
      <w:pPr>
        <w:ind w:left="980" w:right="80" w:hanging="488"/>
        <w:spacing w:after="0" w:line="196" w:lineRule="auto"/>
        <w:tabs>
          <w:tab w:leader="none" w:pos="9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other than U.S. dollars, the currency, currencies or currency units in which the principal of or any premium or interest on any debt securities of the series will be payable, and any related terms;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717" w:right="339" w:bottom="1440" w:gutter="0" w:footer="0" w:header="0"/>
        </w:sectPr>
      </w:pPr>
    </w:p>
    <w:bookmarkStart w:id="66" w:name="page67"/>
    <w:bookmarkEnd w:id="66"/>
    <w:p>
      <w:pPr>
        <w:ind w:left="980" w:hanging="488"/>
        <w:spacing w:after="0" w:line="209"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the principal of or any premium or interest on any debt securities of the series is to be payable, at the election of the Corporation or the holders, in one or more currencies or currency units other than that or those in which the debt securities are stated to be payable, specific information relating to the currency, currencies or currency units, and the terms and conditions relating to any such election;</w:t>
      </w:r>
    </w:p>
    <w:p>
      <w:pPr>
        <w:spacing w:after="0" w:line="75"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other than the entire principal amount, the portion of the principal amount of any debt securities of the series that is payable upon acceleration of maturity;</w:t>
      </w:r>
    </w:p>
    <w:p>
      <w:pPr>
        <w:spacing w:after="0" w:line="151" w:lineRule="exact"/>
        <w:rPr>
          <w:rFonts w:ascii="Times New Roman" w:cs="Times New Roman" w:eastAsia="Times New Roman" w:hAnsi="Times New Roman"/>
          <w:sz w:val="22"/>
          <w:szCs w:val="22"/>
          <w:color w:val="auto"/>
          <w:vertAlign w:val="superscript"/>
        </w:rPr>
      </w:pPr>
    </w:p>
    <w:p>
      <w:pPr>
        <w:ind w:left="980" w:right="20" w:hanging="488"/>
        <w:spacing w:after="0" w:line="196"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the principal amount payable at maturity of the debt securities of the series is not determinable prior to maturity, the amount that is deemed to be the principal amount prior to maturity for purposes of the debt securities and the Indenture;</w:t>
      </w:r>
    </w:p>
    <w:p>
      <w:pPr>
        <w:spacing w:after="0" w:line="74"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applicable, that the debt securities of the series are subject to defeasance and/or covenant defeasance;</w:t>
      </w:r>
    </w:p>
    <w:p>
      <w:pPr>
        <w:spacing w:after="0" w:line="151" w:lineRule="exact"/>
        <w:rPr>
          <w:rFonts w:ascii="Times New Roman" w:cs="Times New Roman" w:eastAsia="Times New Roman" w:hAnsi="Times New Roman"/>
          <w:sz w:val="22"/>
          <w:szCs w:val="22"/>
          <w:color w:val="auto"/>
          <w:vertAlign w:val="superscript"/>
        </w:rPr>
      </w:pPr>
    </w:p>
    <w:p>
      <w:pPr>
        <w:ind w:left="980" w:right="60" w:hanging="488"/>
        <w:spacing w:after="0" w:line="207" w:lineRule="auto"/>
        <w:tabs>
          <w:tab w:leader="none" w:pos="9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if applicable, that the debt securities of the series will be issued in whole or in part in the form of one or more global securities and, if so, the depositary for the global securities, the form of any legend or legends which will be borne by such global securities and any additional terms related to the exchange, transfer and registration of securities issued in global form;</w:t>
      </w:r>
    </w:p>
    <w:p>
      <w:pPr>
        <w:spacing w:after="0" w:line="152" w:lineRule="exact"/>
        <w:rPr>
          <w:rFonts w:ascii="Times New Roman" w:cs="Times New Roman" w:eastAsia="Times New Roman" w:hAnsi="Times New Roman"/>
          <w:sz w:val="21"/>
          <w:szCs w:val="21"/>
          <w:color w:val="auto"/>
          <w:vertAlign w:val="superscript"/>
        </w:rPr>
      </w:pPr>
    </w:p>
    <w:p>
      <w:pPr>
        <w:ind w:left="980" w:right="80" w:hanging="488"/>
        <w:spacing w:after="0" w:line="196"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any addition to or change in the events of default applicable to the debt securities of the series and any change in the right of the trustee or the holders of the debt securities to accelerate the maturity of the debt securities of the series;</w:t>
      </w:r>
    </w:p>
    <w:p>
      <w:pPr>
        <w:spacing w:after="0" w:line="74"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any addition to or change in the covenants described in this Prospectus applicable to the debt securities of the series;</w:t>
      </w:r>
    </w:p>
    <w:p>
      <w:pPr>
        <w:spacing w:after="0" w:line="106"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if the debt securities are to be subordinated to other of the Corporation’s obligations, the terms of the subordination and any related provisions;</w:t>
      </w:r>
    </w:p>
    <w:p>
      <w:pPr>
        <w:spacing w:after="0" w:line="152" w:lineRule="exact"/>
        <w:rPr>
          <w:rFonts w:ascii="Times New Roman" w:cs="Times New Roman" w:eastAsia="Times New Roman" w:hAnsi="Times New Roman"/>
          <w:sz w:val="22"/>
          <w:szCs w:val="22"/>
          <w:color w:val="auto"/>
          <w:vertAlign w:val="superscript"/>
        </w:rPr>
      </w:pPr>
    </w:p>
    <w:p>
      <w:pPr>
        <w:ind w:left="980" w:right="60" w:hanging="488"/>
        <w:spacing w:after="0" w:line="209"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whether the debt securities will be convertible into securities or other property, including the Corporation’s common stock or other securities, whether in addition to, or in lieu of, any payment of principal or other amount or otherwise, and whether at the option of the Corporation or otherwise, the terms and conditions relating to conversion of the debt securities, and any other provisions relating to the conversion of the debt securities;</w:t>
      </w:r>
    </w:p>
    <w:p>
      <w:pPr>
        <w:spacing w:after="0" w:line="152" w:lineRule="exact"/>
        <w:rPr>
          <w:rFonts w:ascii="Times New Roman" w:cs="Times New Roman" w:eastAsia="Times New Roman" w:hAnsi="Times New Roman"/>
          <w:sz w:val="22"/>
          <w:szCs w:val="22"/>
          <w:color w:val="auto"/>
          <w:vertAlign w:val="superscript"/>
        </w:rPr>
      </w:pPr>
    </w:p>
    <w:p>
      <w:pPr>
        <w:ind w:left="980" w:right="180" w:hanging="488"/>
        <w:spacing w:after="0" w:line="217"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obligation, if any, of the Corporation to pay to holders of any debt securities of the series amounts as may be necessary so that net payments on the debt security, after deduction or withholding for or on account of any present or future taxes and other governmental charges imposed by any taxing authority upon or as a result of payments on the securities, will not be less than the gross amount provided in the debt security, and the terms and conditions, if any, on which the Corporation may redeem the debt securities rather than pay such additional amounts;</w:t>
      </w:r>
    </w:p>
    <w:p>
      <w:pPr>
        <w:spacing w:after="0" w:line="73" w:lineRule="exact"/>
        <w:rPr>
          <w:rFonts w:ascii="Times New Roman" w:cs="Times New Roman" w:eastAsia="Times New Roman" w:hAnsi="Times New Roman"/>
          <w:sz w:val="22"/>
          <w:szCs w:val="22"/>
          <w:color w:val="auto"/>
          <w:vertAlign w:val="superscript"/>
        </w:rPr>
      </w:pPr>
    </w:p>
    <w:p>
      <w:pPr>
        <w:ind w:left="980" w:hanging="488"/>
        <w:spacing w:after="0"/>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whether the Corporation will undertake to list the debt securities of the series on any securities exchange or automated interdealer quotation system;</w:t>
      </w:r>
    </w:p>
    <w:p>
      <w:pPr>
        <w:spacing w:after="0" w:line="106"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whether the debt securities of the series will be guaranteed by either or both Guarantors; and</w:t>
      </w:r>
    </w:p>
    <w:p>
      <w:pPr>
        <w:spacing w:after="0" w:line="107" w:lineRule="exact"/>
        <w:rPr>
          <w:rFonts w:ascii="Times New Roman" w:cs="Times New Roman" w:eastAsia="Times New Roman" w:hAnsi="Times New Roman"/>
          <w:sz w:val="22"/>
          <w:szCs w:val="22"/>
          <w:color w:val="auto"/>
          <w:vertAlign w:val="superscript"/>
        </w:rPr>
      </w:pPr>
    </w:p>
    <w:p>
      <w:pPr>
        <w:ind w:left="980" w:hanging="488"/>
        <w:spacing w:after="0" w:line="208" w:lineRule="auto"/>
        <w:tabs>
          <w:tab w:leader="none" w:pos="9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any other terms of the series of debt securities.</w:t>
      </w:r>
    </w:p>
    <w:p>
      <w:pPr>
        <w:spacing w:after="0" w:line="152" w:lineRule="exact"/>
        <w:rPr>
          <w:sz w:val="20"/>
          <w:szCs w:val="20"/>
          <w:color w:val="auto"/>
        </w:rPr>
      </w:pPr>
    </w:p>
    <w:p>
      <w:pPr>
        <w:ind w:right="200" w:firstLine="490"/>
        <w:spacing w:after="0" w:line="254"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Indenture does not afford the holders the right to tender debt securities to Enbridge for repurchase or provide for any increase in the rate or rates of interest at which the debt securities will bear interest in the event Enbridge should become involved in a highly leveraged transaction or in the event of a change in control of Enbridge.</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67" w:name="page68"/>
    <w:bookmarkEnd w:id="67"/>
    <w:p>
      <w:pPr>
        <w:ind w:right="180" w:firstLine="490"/>
        <w:spacing w:after="0" w:line="316" w:lineRule="auto"/>
        <w:rPr>
          <w:sz w:val="20"/>
          <w:szCs w:val="20"/>
          <w:color w:val="auto"/>
        </w:rPr>
      </w:pPr>
      <w:r>
        <w:rPr>
          <w:rFonts w:ascii="Times New Roman" w:cs="Times New Roman" w:eastAsia="Times New Roman" w:hAnsi="Times New Roman"/>
          <w:sz w:val="12"/>
          <w:szCs w:val="12"/>
          <w:color w:val="auto"/>
        </w:rPr>
        <w:t>Debt securities may be issued under the Indenture bearing no interest or interest at a rate below the prevailing market rate at the time of issuance, and may be offered and sold at a discount below their stated principal amount. The Canadian and United States federal income tax consequences and other special considerations applicable to any such discounted debt securities or other debt securities offered and sold at par which are treated as having been issued at a discount for Canadian and/or United States federal income tax purposes will be described in the applicable Prospectus Supplement.</w:t>
      </w:r>
    </w:p>
    <w:p>
      <w:pPr>
        <w:spacing w:after="0" w:line="10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Enbridge may, without the consent of the holders thereof, reopen a previous issue of a series of debt securities and issue additional debt securities of such series; provided, however, that in the event any additional debt securities are not fungible with the outstanding debt securities for United States federal income tax purposes, such non-fungible additional debt securities will be issued with a separate CUSIP number so that they are distinguishable from the outstanding debt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70"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Unless otherwise specified in the applicable Prospectus Supplement, each of the Guarantors will fully, unconditionally, irrevocably, absolutely and jointly and severally guarantee the due and punctual payment of the principal of, and premium, if any, and interest on the debt securities and all other amounts due and payable by Enbridge under the Indenture and the debt securities, when and as such principal, premium, if any, interest and other amounts shall become due and payable. The guarantee of any debt securities is intended to be a general, unsecured, senior obligation of each of the Guarantors and will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all indebtedness of each Guarantor that is not, by its terms, expressly subordinated in right of payment to the guarantee.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guarantees of either Guarantor will be unconditionally released and discharged automatically upon the occurrence of any of the following events:</w:t>
      </w:r>
    </w:p>
    <w:p>
      <w:pPr>
        <w:spacing w:after="0" w:line="166" w:lineRule="exact"/>
        <w:rPr>
          <w:sz w:val="20"/>
          <w:szCs w:val="20"/>
          <w:color w:val="auto"/>
        </w:rPr>
      </w:pPr>
    </w:p>
    <w:p>
      <w:pPr>
        <w:ind w:left="980" w:right="380" w:hanging="488"/>
        <w:spacing w:after="0" w:line="207" w:lineRule="auto"/>
        <w:tabs>
          <w:tab w:leader="none" w:pos="98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any direct or indirect sale, exchange or transfer, whether by way of merger, sale or transfer of equity interests or otherwise, to any person that is not an affiliate of Enbridge, of any of Enbridge’s direct or indirect limited partnership or other equity interests in such Guarantor as a result of which such Guarantor ceases to be a consolidated subsidiary of Enbridge;</w:t>
      </w:r>
    </w:p>
    <w:p>
      <w:pPr>
        <w:spacing w:after="0" w:line="75" w:lineRule="exact"/>
        <w:rPr>
          <w:rFonts w:ascii="Times New Roman" w:cs="Times New Roman" w:eastAsia="Times New Roman" w:hAnsi="Times New Roman"/>
          <w:sz w:val="21"/>
          <w:szCs w:val="21"/>
          <w:color w:val="auto"/>
          <w:vertAlign w:val="superscript"/>
        </w:rPr>
      </w:pPr>
    </w:p>
    <w:p>
      <w:pPr>
        <w:ind w:left="980" w:hanging="488"/>
        <w:spacing w:after="0"/>
        <w:tabs>
          <w:tab w:leader="none" w:pos="9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merger of such Guarantor into Enbridge or the other Guarantor or the liquidation and dissolution of such Guarantor;</w:t>
      </w:r>
    </w:p>
    <w:p>
      <w:pPr>
        <w:spacing w:after="0" w:line="151" w:lineRule="exact"/>
        <w:rPr>
          <w:rFonts w:ascii="Times New Roman" w:cs="Times New Roman" w:eastAsia="Times New Roman" w:hAnsi="Times New Roman"/>
          <w:sz w:val="22"/>
          <w:szCs w:val="22"/>
          <w:color w:val="auto"/>
          <w:vertAlign w:val="superscript"/>
        </w:rPr>
      </w:pPr>
    </w:p>
    <w:p>
      <w:pPr>
        <w:ind w:left="980" w:right="80" w:hanging="488"/>
        <w:spacing w:after="0" w:line="196" w:lineRule="auto"/>
        <w:tabs>
          <w:tab w:leader="none" w:pos="9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with respect to any series of debt securities, the repayment in full or discharge or defeasance of such debt securities (each as contemplated by the Indenture or any applicable supplemental indenture);</w:t>
      </w:r>
    </w:p>
    <w:p>
      <w:pPr>
        <w:spacing w:after="0" w:line="152" w:lineRule="exact"/>
        <w:rPr>
          <w:rFonts w:ascii="Times New Roman" w:cs="Times New Roman" w:eastAsia="Times New Roman" w:hAnsi="Times New Roman"/>
          <w:sz w:val="22"/>
          <w:szCs w:val="22"/>
          <w:color w:val="auto"/>
          <w:vertAlign w:val="superscript"/>
        </w:rPr>
      </w:pPr>
    </w:p>
    <w:p>
      <w:pPr>
        <w:ind w:left="980" w:right="380" w:hanging="488"/>
        <w:spacing w:after="0" w:line="196" w:lineRule="auto"/>
        <w:tabs>
          <w:tab w:leader="none" w:pos="9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with respect to EEP, the repayment in full or discharge or defeasance of the debt securities of EEP outstanding as of January 22, 2019, all of which are guaranteed by the Corporation pursuant to the Seventeenth Supplemental Indenture, dated as of January 22, 2019, among EEP, the Corporation and U.S. Bank National Association, as trustee; or</w:t>
      </w:r>
    </w:p>
    <w:p>
      <w:pPr>
        <w:spacing w:after="0" w:line="152" w:lineRule="exact"/>
        <w:rPr>
          <w:rFonts w:ascii="Times New Roman" w:cs="Times New Roman" w:eastAsia="Times New Roman" w:hAnsi="Times New Roman"/>
          <w:sz w:val="22"/>
          <w:szCs w:val="22"/>
          <w:color w:val="auto"/>
          <w:vertAlign w:val="superscript"/>
        </w:rPr>
      </w:pPr>
    </w:p>
    <w:p>
      <w:pPr>
        <w:ind w:left="980" w:right="400" w:hanging="488"/>
        <w:spacing w:after="0" w:line="196" w:lineRule="auto"/>
        <w:tabs>
          <w:tab w:leader="none" w:pos="9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with respect to SEP, the repayment in full or discharge or defeasance of the debt securities of SEP outstanding as of January 22, 2019, all of which are guaranteed by the Corporation pursuant to the Eighth Supplemental Indenture, dated as of January 22, 2019, among SEP, the Corporation and Wells Fargo Bank, National Association, as trustee.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66"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4"/>
          <w:szCs w:val="14"/>
          <w:color w:val="auto"/>
        </w:rPr>
        <w:t>In this section, the terms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Enbridge</w:t>
      </w:r>
      <w:r>
        <w:rPr>
          <w:rFonts w:ascii="Times New Roman" w:cs="Times New Roman" w:eastAsia="Times New Roman" w:hAnsi="Times New Roman"/>
          <w:sz w:val="14"/>
          <w:szCs w:val="14"/>
          <w:color w:val="auto"/>
        </w:rPr>
        <w:t>”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170" w:lineRule="exact"/>
        <w:rPr>
          <w:sz w:val="20"/>
          <w:szCs w:val="20"/>
          <w:color w:val="auto"/>
        </w:rPr>
      </w:pPr>
    </w:p>
    <w:p>
      <w:pPr>
        <w:ind w:right="100" w:firstLine="490"/>
        <w:spacing w:after="0" w:line="250" w:lineRule="auto"/>
        <w:rPr>
          <w:sz w:val="20"/>
          <w:szCs w:val="20"/>
          <w:color w:val="auto"/>
        </w:rPr>
      </w:pPr>
      <w:r>
        <w:rPr>
          <w:rFonts w:ascii="Times New Roman" w:cs="Times New Roman" w:eastAsia="Times New Roman" w:hAnsi="Times New Roman"/>
          <w:sz w:val="14"/>
          <w:szCs w:val="14"/>
          <w:color w:val="auto"/>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spacing w:after="0" w:line="146"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14"/>
          <w:szCs w:val="14"/>
          <w:color w:val="auto"/>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Rights Plan</w:t>
      </w:r>
    </w:p>
    <w:p>
      <w:pPr>
        <w:spacing w:after="0" w:line="164" w:lineRule="exact"/>
        <w:rPr>
          <w:sz w:val="20"/>
          <w:szCs w:val="20"/>
          <w:color w:val="auto"/>
        </w:rPr>
      </w:pPr>
    </w:p>
    <w:p>
      <w:pPr>
        <w:ind w:right="60" w:firstLine="490"/>
        <w:spacing w:after="0" w:line="302" w:lineRule="auto"/>
        <w:rPr>
          <w:sz w:val="20"/>
          <w:szCs w:val="20"/>
          <w:color w:val="auto"/>
        </w:rPr>
      </w:pPr>
      <w:r>
        <w:rPr>
          <w:rFonts w:ascii="Times New Roman" w:cs="Times New Roman" w:eastAsia="Times New Roman" w:hAnsi="Times New Roman"/>
          <w:sz w:val="12"/>
          <w:szCs w:val="12"/>
          <w:color w:val="auto"/>
        </w:rPr>
        <w:t>The Corporation has a shareholder rights plan (the “</w:t>
      </w:r>
      <w:r>
        <w:rPr>
          <w:rFonts w:ascii="Times New Roman" w:cs="Times New Roman" w:eastAsia="Times New Roman" w:hAnsi="Times New Roman"/>
          <w:sz w:val="12"/>
          <w:szCs w:val="12"/>
          <w:b w:val="1"/>
          <w:bCs w:val="1"/>
          <w:color w:val="auto"/>
        </w:rPr>
        <w:t>Shareholder Rights Plan</w:t>
      </w:r>
      <w:r>
        <w:rPr>
          <w:rFonts w:ascii="Times New Roman" w:cs="Times New Roman" w:eastAsia="Times New Roman" w:hAnsi="Times New Roman"/>
          <w:sz w:val="12"/>
          <w:szCs w:val="12"/>
          <w:color w:val="auto"/>
        </w:rPr>
        <w:t>”) that is designed to encourage the fair treatment of shareholders in connection with any take-over bid for the Corporation. Rights issued under the Shareholder Rights Plan become exercisable when a person, and any related parties, acquires or announces the intention to acquire 20% or more of the Corporation’s outstanding common shares without complying with certain provisions set out in the Shareholder Rights Plan or without approval of the board of directors of the Corporation. Should such an acquisition or announcement occur, each rights holder, other than the acquiring person and its related parties, will have the right to purchase common shares of the Corporation at a 50% discount to the market price at that time. For further particulars, reference should be made to the Shareholder Rights Plan, filed as Exhibit 4.15 to the Annual Report, which is herein incorporated by reference.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Preference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Shares Issuable in Series</w:t>
      </w:r>
    </w:p>
    <w:p>
      <w:pPr>
        <w:spacing w:after="0" w:line="168"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14"/>
          <w:szCs w:val="14"/>
          <w:color w:val="auto"/>
        </w:rPr>
        <w:t>The preference shares may be issued at any time or from time to time in one or more series. Before any shares of a series are issued, the board of directors of the Corporation shall fix the number of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For preference shares issued that are to be convertible into other securities of the Corporation, including other series of preference shares, no amounts will be payable to convert those preference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Priority</w:t>
      </w:r>
    </w:p>
    <w:p>
      <w:pPr>
        <w:spacing w:after="0" w:line="168" w:lineRule="exact"/>
        <w:rPr>
          <w:sz w:val="20"/>
          <w:szCs w:val="20"/>
          <w:color w:val="auto"/>
        </w:rPr>
      </w:pPr>
    </w:p>
    <w:p>
      <w:pPr>
        <w:ind w:right="140" w:firstLine="490"/>
        <w:spacing w:after="0" w:line="316" w:lineRule="auto"/>
        <w:rPr>
          <w:sz w:val="20"/>
          <w:szCs w:val="20"/>
          <w:color w:val="auto"/>
        </w:rPr>
      </w:pPr>
      <w:r>
        <w:rPr>
          <w:rFonts w:ascii="Times New Roman" w:cs="Times New Roman" w:eastAsia="Times New Roman" w:hAnsi="Times New Roman"/>
          <w:sz w:val="12"/>
          <w:szCs w:val="12"/>
          <w:color w:val="auto"/>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68"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4"/>
          <w:szCs w:val="14"/>
          <w:color w:val="auto"/>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715" w:right="339" w:bottom="1440" w:gutter="0" w:footer="0" w:header="0"/>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MATERIAL INCOME TAX CONSIDERATIONS</w:t>
      </w:r>
    </w:p>
    <w:p>
      <w:pPr>
        <w:spacing w:after="0" w:line="170" w:lineRule="exact"/>
        <w:rPr>
          <w:sz w:val="20"/>
          <w:szCs w:val="20"/>
          <w:color w:val="auto"/>
        </w:rPr>
      </w:pPr>
    </w:p>
    <w:p>
      <w:pPr>
        <w:ind w:right="160" w:firstLine="490"/>
        <w:spacing w:after="0" w:line="254" w:lineRule="auto"/>
        <w:rPr>
          <w:sz w:val="20"/>
          <w:szCs w:val="20"/>
          <w:color w:val="auto"/>
        </w:rPr>
      </w:pPr>
      <w:r>
        <w:rPr>
          <w:rFonts w:ascii="Times New Roman" w:cs="Times New Roman" w:eastAsia="Times New Roman" w:hAnsi="Times New Roman"/>
          <w:sz w:val="14"/>
          <w:szCs w:val="14"/>
          <w:color w:val="auto"/>
        </w:rPr>
        <w:t>The applicable Prospectus Supplement will describe material Canadian federal income tax consequences to an investor of acquiring any Securities offered thereunder, if applicable, including whether the payments of dividends on common shares or preference shares or payments of principal, premium, if any, and interest on debt securities payable to a non-resident of Canada will be subject to Canadian non-resident withholding tax.</w:t>
      </w:r>
    </w:p>
    <w:p>
      <w:pPr>
        <w:spacing w:after="0" w:line="142" w:lineRule="exact"/>
        <w:rPr>
          <w:sz w:val="20"/>
          <w:szCs w:val="20"/>
          <w:color w:val="auto"/>
        </w:rPr>
      </w:pPr>
    </w:p>
    <w:p>
      <w:pPr>
        <w:ind w:right="40" w:firstLine="490"/>
        <w:spacing w:after="0" w:line="316" w:lineRule="auto"/>
        <w:rPr>
          <w:sz w:val="20"/>
          <w:szCs w:val="20"/>
          <w:color w:val="auto"/>
        </w:rPr>
      </w:pPr>
      <w:r>
        <w:rPr>
          <w:rFonts w:ascii="Times New Roman" w:cs="Times New Roman" w:eastAsia="Times New Roman" w:hAnsi="Times New Roman"/>
          <w:sz w:val="12"/>
          <w:szCs w:val="12"/>
          <w:color w:val="auto"/>
        </w:rPr>
        <w:t>The applicable Prospectus Supplement will also describe material United States federal income tax consequences of the acquisition, ownership and disposition of any Securities offered thereunder by an initial investor who is a United States person (within the meaning of the United States Internal Revenue Code), including, to the extent applicable, any such material consequences relating to debt securities payable in a currency other than the U.S. dollar, issued at an original issue discount for United States federal income tax purposes or containing early redemption provisions or other special items.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Corporation may sell the Securities to or through underwriters, agents or dealers and also may sell the Securities directly to purchasers pursuant to applicable statutory exemptions or through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agents.</w:t>
      </w:r>
    </w:p>
    <w:p>
      <w:pPr>
        <w:spacing w:after="0" w:line="154"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spacing w:after="0" w:line="136" w:lineRule="exact"/>
        <w:rPr>
          <w:sz w:val="20"/>
          <w:szCs w:val="20"/>
          <w:color w:val="auto"/>
        </w:rPr>
      </w:pPr>
    </w:p>
    <w:p>
      <w:pPr>
        <w:ind w:right="140" w:firstLine="490"/>
        <w:spacing w:after="0" w:line="254" w:lineRule="auto"/>
        <w:rPr>
          <w:sz w:val="20"/>
          <w:szCs w:val="20"/>
          <w:color w:val="auto"/>
        </w:rPr>
      </w:pPr>
      <w:r>
        <w:rPr>
          <w:rFonts w:ascii="Times New Roman" w:cs="Times New Roman" w:eastAsia="Times New Roman" w:hAnsi="Times New Roman"/>
          <w:sz w:val="14"/>
          <w:szCs w:val="14"/>
          <w:color w:val="auto"/>
        </w:rPr>
        <w:t>The Prospectus Supplement relating to each series of the Securities will also set forth the terms of the offering of the Securities, including to the extent applicable, the initial offering price, the proceeds to the Corporation,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spacing w:after="0" w:line="142" w:lineRule="exact"/>
        <w:rPr>
          <w:sz w:val="20"/>
          <w:szCs w:val="20"/>
          <w:color w:val="auto"/>
        </w:rPr>
      </w:pPr>
    </w:p>
    <w:p>
      <w:pPr>
        <w:ind w:right="300" w:firstLine="490"/>
        <w:spacing w:after="0" w:line="254" w:lineRule="auto"/>
        <w:rPr>
          <w:sz w:val="20"/>
          <w:szCs w:val="20"/>
          <w:color w:val="auto"/>
        </w:rPr>
      </w:pPr>
      <w:r>
        <w:rPr>
          <w:rFonts w:ascii="Times New Roman" w:cs="Times New Roman" w:eastAsia="Times New Roman" w:hAnsi="Times New Roman"/>
          <w:sz w:val="14"/>
          <w:szCs w:val="14"/>
          <w:color w:val="auto"/>
        </w:rPr>
        <w:t>In connection with the sale of the Securities, underwriters may receive compensation from the Corporation or from purchasers of the Securities for whom they may act as agents in the form of discounts, concessions or commissions. Any such commissions will be paid either using a portion of the funds received in connection with the sale of the Securities or out of the general funds of the Corporation.</w:t>
      </w:r>
    </w:p>
    <w:p>
      <w:pPr>
        <w:spacing w:after="0" w:line="142" w:lineRule="exact"/>
        <w:rPr>
          <w:sz w:val="20"/>
          <w:szCs w:val="20"/>
          <w:color w:val="auto"/>
        </w:rPr>
      </w:pPr>
    </w:p>
    <w:p>
      <w:pPr>
        <w:jc w:val="both"/>
        <w:ind w:right="260" w:firstLine="490"/>
        <w:spacing w:after="0" w:line="254" w:lineRule="auto"/>
        <w:rPr>
          <w:sz w:val="20"/>
          <w:szCs w:val="20"/>
          <w:color w:val="auto"/>
        </w:rPr>
      </w:pPr>
      <w:r>
        <w:rPr>
          <w:rFonts w:ascii="Times New Roman" w:cs="Times New Roman" w:eastAsia="Times New Roman" w:hAnsi="Times New Roman"/>
          <w:sz w:val="14"/>
          <w:szCs w:val="14"/>
          <w:color w:val="auto"/>
        </w:rPr>
        <w:t>Under agreements which may be entered into by the Corporation, underwriters, dealers and agents who participate in the distribution of the Securities may be entitled to indemnification by the Corporation against certain liabilities, including liabilities under securities legislation, or to contribution with respect to payments which such underwriters, dealers or agents may be required to make in respect thereof.</w:t>
      </w:r>
    </w:p>
    <w:p>
      <w:pPr>
        <w:spacing w:after="0" w:line="142" w:lineRule="exact"/>
        <w:rPr>
          <w:sz w:val="20"/>
          <w:szCs w:val="20"/>
          <w:color w:val="auto"/>
        </w:rPr>
      </w:pPr>
    </w:p>
    <w:p>
      <w:pPr>
        <w:ind w:right="80" w:firstLine="490"/>
        <w:spacing w:after="0" w:line="264" w:lineRule="auto"/>
        <w:rPr>
          <w:sz w:val="20"/>
          <w:szCs w:val="20"/>
          <w:color w:val="auto"/>
        </w:rPr>
      </w:pPr>
      <w:r>
        <w:rPr>
          <w:rFonts w:ascii="Times New Roman" w:cs="Times New Roman" w:eastAsia="Times New Roman" w:hAnsi="Times New Roman"/>
          <w:sz w:val="14"/>
          <w:szCs w:val="14"/>
          <w:color w:val="auto"/>
        </w:rPr>
        <w:t>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14"/>
          <w:szCs w:val="14"/>
          <w:color w:val="auto"/>
        </w:rPr>
        <w:t>The Corporation is a Canadian corporation. While the Corporation has appointed Enbridge (U.S.) Inc. as its agent to receive service of process with respect to any action brought against it in any federal or state court in the United States arising from any offering conducted under this Prospectus, it may not be possible for investors to enforce outside the United States judgments against the Corporation obtained in the United States in any such actions, including actions predicated upon the civil liability provisions of the United States federal and state securities laws. In addition, certain of the directors and officers of the Corporation are residents of Canada or other jurisdictions outside of the United States, and all or a substantial portion of the assets of those directors and officers are or may be located outside the United States. As a result, it may not be possible for investors to effect service of process within the United States upon those persons, or to enforce against them judgments obtained in United States courts, including judgments predicated upon the civil liability provisions of United States federal and state securities laws.</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00"/>
          </w:cols>
          <w:pgMar w:left="300" w:top="715" w:right="399" w:bottom="1440" w:gutter="0" w:footer="0" w:header="0"/>
        </w:sectPr>
      </w:pPr>
    </w:p>
    <w:bookmarkStart w:id="70" w:name="page71"/>
    <w:bookmarkEnd w:id="70"/>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7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14"/>
          <w:szCs w:val="14"/>
          <w:color w:val="auto"/>
        </w:rPr>
        <w:t>The validity of the debt securities will be passed upon for us by McCarthy Tétrault LLP with respect to matters of Canadian law and by Sullivan &amp; Cromwell LLP with respect to matters of New York law. The validity of the guarantees will be passed upon for us by Sullivan &amp; Cromwell LLP. The validity of the common shares and preference shares will be passed upon for us by McCarthy Tétrault LLP.</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right="80" w:firstLine="49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incorporated in this Prospectus by reference to Enbridge Inc.’s </w:t>
      </w:r>
      <w:hyperlink r:id="rId77">
        <w:r>
          <w:rPr>
            <w:rFonts w:ascii="Times New Roman" w:cs="Times New Roman" w:eastAsia="Times New Roman" w:hAnsi="Times New Roman"/>
            <w:sz w:val="14"/>
            <w:szCs w:val="14"/>
            <w:u w:val="single" w:color="auto"/>
            <w:color w:val="0000EE"/>
          </w:rPr>
          <w:t>Annual Report on Form 10-K for the year ended 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management’s assessment of the effectiveness of internal control over financial reporting (which is included in Management’s Report on Internal Control over Financial Reporting) as of December 31, 2024 have been so incorporated in reliance on the report of PricewaterhouseCoopers LLP, an independent registered public accounting firm, given on the authority of said firm as experts in auditing and accounting.</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40"/>
          </w:cols>
          <w:pgMar w:left="300" w:top="715" w:right="4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361315</wp:posOffset>
            </wp:positionV>
            <wp:extent cx="716597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387350</wp:posOffset>
            </wp:positionV>
            <wp:extent cx="716597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65975" cy="6350"/>
                    </a:xfrm>
                    <a:prstGeom prst="rect">
                      <a:avLst/>
                    </a:prstGeom>
                    <a:noFill/>
                  </pic:spPr>
                </pic:pic>
              </a:graphicData>
            </a:graphic>
          </wp:anchor>
        </w:drawing>
        <w:t>US$2,000,000,000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119380</wp:posOffset>
            </wp:positionV>
            <wp:extent cx="1919605" cy="421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919605" cy="42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Enbridge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Fully and Unconditionally Guaranteed by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Enbridge Energy Partners, L.P. and Spectra Energy Partners, LP</w:t>
      </w:r>
    </w:p>
    <w:p>
      <w:pPr>
        <w:spacing w:after="0" w:line="17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US$1,000,000,000 4.850% Senior Notes due 2031</w:t>
      </w:r>
    </w:p>
    <w:p>
      <w:pPr>
        <w:spacing w:after="0" w:line="1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US$1,000,000,000 5.450%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106045</wp:posOffset>
            </wp:positionV>
            <wp:extent cx="179641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106045</wp:posOffset>
            </wp:positionV>
            <wp:extent cx="179641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1796415" cy="635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Barclays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BofA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Citigroup</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J.P. Morgan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Mizuho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SMBC Nikko</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Credit Agricole CIB</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Deutsche Bank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Morgan Stanley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MUFG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PNC Capital Markets LLC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Truist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SOCIETE GENERALE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Santander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Wells Fargo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Roberts &amp; Ryan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Academy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ICBC Standard Bank</w:t>
      </w:r>
    </w:p>
    <w:p>
      <w:pPr>
        <w:spacing w:after="0" w:line="16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Loop Capital Markets</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Ramirez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116205</wp:posOffset>
            </wp:positionV>
            <wp:extent cx="71659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135255</wp:posOffset>
            </wp:positionV>
            <wp:extent cx="716597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472440</wp:posOffset>
            </wp:positionV>
            <wp:extent cx="71659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72" w:name="page73"/>
    <w:bookmarkEnd w:id="72"/>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ENBRIDGE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1080" w:type="dxa"/>
            <w:vAlign w:val="bottom"/>
            <w:vMerge w:val="restart"/>
            <w:shd w:val="clear" w:color="auto" w:fill="9ADAF6"/>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4"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jc w:val="right"/>
              <w:ind w:right="38"/>
              <w:spacing w:after="0" w:line="164"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4.850%</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$ 998,600,000.00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$ 137,906.66</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5.450%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$ 999,240,000.00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$ 137,995.04</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$ 275,901.70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1,997,840,000.00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$ 275,901.70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Calculated in accordance with Rule 457(r) under the Securities Act of 1933, as amended, and relates to the Registration Statement on Form S-3 (No.</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333-289186) filed by Enbridge Inc. on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20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20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jc w:val="center"/>
              <w:ind w:right="19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w w:val="99"/>
              </w:rPr>
              <w:t>Security Type</w:t>
            </w: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continue"/>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continue"/>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61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upperLetter"/>
      <w:start w:val="2"/>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6"/>
    </w:lvl>
    <w:lvl w:ilvl="1">
      <w:lvlJc w:val="left"/>
      <w:lvlText w:val="(%2)"/>
      <w:numFmt w:val="decimal"/>
      <w:start w:val="1"/>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2"/>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3"/>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Roman"/>
      <w:start w:val="4"/>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lowerRoman"/>
      <w:start w:val="2"/>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jpeg"/><Relationship Id="rId76"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jpe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9" Type="http://schemas.openxmlformats.org/officeDocument/2006/relationships/hyperlink" Target="https://www.sec.gov/ix?doc=/Archives/edgar/data/895728/000119312526100426/enb-20251231.htm" TargetMode="External"/><Relationship Id="rId20" Type="http://schemas.openxmlformats.org/officeDocument/2006/relationships/hyperlink" Target="https://www.sec.gov/ix?doc=/Archives/edgar/data/895728/000119312526100395/enb-20260310.htm" TargetMode="External"/><Relationship Id="rId21" Type="http://schemas.openxmlformats.org/officeDocument/2006/relationships/hyperlink" Target="https://www.sec.gov/ix?doc=/Archives/edgar/data/895728/000119312526117636/enb-20260320.htm" TargetMode="External"/><Relationship Id="rId73" Type="http://schemas.openxmlformats.org/officeDocument/2006/relationships/hyperlink" Target="https://www.sec.gov/ix?doc=/Archives/edgar/data/895728/000119312526049810/enb-20251231.htm" TargetMode="External"/><Relationship Id="rId77" Type="http://schemas.openxmlformats.org/officeDocument/2006/relationships/hyperlink" Target="https://www.sec.gov/ix?doc=/Archives/edgar/data/895728/000089572825000006/enb-20241231.htm" TargetMode="External"/><Relationship Id="rId84" Type="http://schemas.openxmlformats.org/officeDocument/2006/relationships/hyperlink" Target="https://www.sec.gov/ix?doc=/Archives/edgar/data/895728/000119312525052058/d915084d10ka.htm" TargetMode="External"/><Relationship Id="rId85" Type="http://schemas.openxmlformats.org/officeDocument/2006/relationships/hyperlink" Target="https://www.sec.gov/ix?doc=/Archives/edgar/data/895728/000089572825000012/enb-20250331.htm" TargetMode="External"/><Relationship Id="rId86" Type="http://schemas.openxmlformats.org/officeDocument/2006/relationships/hyperlink" Target="https://www.sec.gov/ix?doc=/Archives/edgar/data/895728/000095017025101102/enb-20250630.htm" TargetMode="External"/><Relationship Id="rId87" Type="http://schemas.openxmlformats.org/officeDocument/2006/relationships/hyperlink" Target="https://www.sec.gov/ix?doc=/Archives/edgar/data/895728/000119312525027290/d857524d8ka.htm" TargetMode="External"/><Relationship Id="rId88" Type="http://schemas.openxmlformats.org/officeDocument/2006/relationships/hyperlink" Target="https://www.sec.gov/ix?doc=/Archives/edgar/data/895728/000119312525052056/d915082d8k.htm" TargetMode="External"/><Relationship Id="rId89" Type="http://schemas.openxmlformats.org/officeDocument/2006/relationships/hyperlink" Target="https://www.sec.gov/ix?doc=/Archives/edgar/data/895728/000119312525060242/d915080d8k.htm" TargetMode="External"/><Relationship Id="rId90" Type="http://schemas.openxmlformats.org/officeDocument/2006/relationships/hyperlink" Target="https://www.sec.gov/ix?doc=/Archives/edgar/data/895728/000119312525115979/d937128d8k.htm" TargetMode="External"/><Relationship Id="rId91" Type="http://schemas.openxmlformats.org/officeDocument/2006/relationships/hyperlink" Target="https://www.sec.gov/ix?doc=/Archives/edgar/data/895728/000110465925061164/tm2517955d4_8k.htm" TargetMode="External"/><Relationship Id="rId92" Type="http://schemas.openxmlformats.org/officeDocument/2006/relationships/hyperlink" Target="https://www.sec.gov/Archives/edgar/data/895728/000104746917005855/a2233263z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2026-03-26T15:38:27Z</dcterms:created>
  <dcterms:modified xsi:type="dcterms:W3CDTF">2026-03-26T15:38:27Z</dcterms:modified>
</cp:coreProperties>
</file>