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81d1_424b5.htm"/>
      <w:bookmarkStart w:id="1" w:name="kstm2624881d1_424b5"/>
      <w:bookmarkEnd w:id="0"/>
      <w:bookmarkEnd w:id="1"/>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333-289186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supplement and the accompanying prospectus is not complete and may be changed. A registration statement relating to these securities has been filed with the Securities and Exchange Commission. This prospectus supplement and the accompanying prospectus are not an offer to sell these securities and are not soliciting offers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September     , 2026</w:t>
        <w:br/>
        <w:t>(To Prospectus Dated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6685" cy="33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 cy="3365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Inc. (the “Corporation”) is offering CDN$                               of its common shares (“Common Shares”) (such offered Common Shares, together with the Common Shares issuable upon exercise of the Over-Allotment Option (as defined below), the “Offered Shares”) in this offering (the “Offering”) at an offering price per Offered Share of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are listed on the Toronto Stock Exchange (the “TSX”) and on the New York Stock Exchange (the “NYSE”) under the symbol “ENB”. On September 8, 2026, the closing price of the Common Shares was $69.69 per Common Share on the TSX and was US$50.48 per Common Share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concurrently in Canada under the terms of a prospectus supplement to a short form base shelf prospectus filed with the securities commissions or similar authorities in each of the provinces of Canada. Neither this prospectus supplement nor the accompanying prospectus constitutes a prospectus under Canadian securities laws and therefore does not qualify the Offered Shares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have indicated an interest in purchasing approximately $1.82 million of the Offered Shares at the public offering price. However, because indications of interest are not binding agreements or commitments to purchase, the underwriters could determine to sell more, fewer or no Offered Shares to those persons, or those persons could determine to purchase more, fewer or no Offered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OR CANADIAN SECURITIES COMMISSION OR REGULATORY AUTHORITY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enforcement by investors of civil liabilities under United States federal securities laws may be affected adversely by the fact that we are incorporated and organized under the laws of Canada, that some or all of our officers and directors are residents of Canada, that some or all of the underwriters or experts named in this prospectus supplement or the accompanying prospectus are residents of Canada, and that all or a substantial portion of our assets and said persons are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Offered Shares involves certain risks. See “Risk Factors” beginning on page S-4 of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1430"/>
        <w:gridCol w:w="60"/>
        <w:gridCol w:w="60"/>
        <w:gridCol w:w="1025"/>
        <w:gridCol w:w="60"/>
        <w:gridCol w:w="60"/>
        <w:gridCol w:w="1280"/>
        <w:gridCol w:w="60"/>
        <w:gridCol w:w="60"/>
        <w:gridCol w:w="1340"/>
      </w:tblGrid>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to the </w:t>
              <w:br/>
              <w:t>Public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Underwriting </w:t>
              <w:br/>
              <w:t>Commission</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 to</w:t>
              <w:br/>
              <w:t xml:space="preserve">the </w:t>
              <w:br/>
              <w:t>Corporation</w:t>
            </w:r>
            <w:r>
              <w:rPr>
                <w:rFonts w:ascii="Times New Roman;Times;Serif" w:hAnsi="Times New Roman;Times;Serif"/>
                <w:b/>
                <w:i w:val="false"/>
                <w:caps w:val="false"/>
                <w:smallCaps w:val="false"/>
                <w:position w:val="7"/>
                <w:sz w:val="16"/>
                <w:sz w:val="20"/>
              </w:rPr>
              <w:t>(2)</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Offered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osition w:val="8"/>
                <w:sz w:val="19"/>
              </w:rPr>
            </w:pPr>
            <w:r>
              <w:rPr>
                <w:position w:val="8"/>
                <w:sz w:val="19"/>
              </w:rPr>
              <w:t>(1)</w:t>
            </w:r>
          </w:p>
        </w:tc>
        <w:tc>
          <w:tcPr>
            <w:tcW w:w="9959" w:type="dxa"/>
            <w:tcBorders/>
            <w:vAlign w:val="center"/>
          </w:tcPr>
          <w:p>
            <w:pPr>
              <w:pStyle w:val="TableContents"/>
              <w:bidi w:val="0"/>
              <w:spacing w:before="0" w:after="283"/>
              <w:jc w:val="left"/>
              <w:rPr/>
            </w:pPr>
            <w:r>
              <w:rPr/>
              <w:t>In consideration for the services of the underwriters in connection with the Offering, the Corporation will pay the underwriters a fee of $         per Offered Share issued and sold by the Corporation as part of the Offering. See “Underwriting.”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osition w:val="8"/>
                <w:sz w:val="19"/>
              </w:rPr>
            </w:pPr>
            <w:r>
              <w:rPr>
                <w:position w:val="8"/>
                <w:sz w:val="19"/>
              </w:rPr>
              <w:t>(2)</w:t>
            </w:r>
          </w:p>
        </w:tc>
        <w:tc>
          <w:tcPr>
            <w:tcW w:w="9959" w:type="dxa"/>
            <w:tcBorders/>
            <w:vAlign w:val="center"/>
          </w:tcPr>
          <w:p>
            <w:pPr>
              <w:pStyle w:val="TableContents"/>
              <w:bidi w:val="0"/>
              <w:spacing w:before="0" w:after="283"/>
              <w:jc w:val="left"/>
              <w:rPr/>
            </w:pPr>
            <w:r>
              <w:rPr/>
              <w:t>Before deducting the estimated expenses of the Offering of approximately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(the “Over-Allotment Option”) to purchase up to             additional Common Shares on the same terms set forth above, exercisable in whole or in part, from the date of this prospectus supplement to the date 30 days after the closing of the Offering, to cover over-allotments,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Offered Shares to purchasers on or about September      , 2026.</w:t>
      </w:r>
    </w:p>
    <w:p>
      <w:pPr>
        <w:pStyle w:val="TextBody"/>
        <w:bidi w:val="0"/>
        <w:spacing w:before="0" w:after="0"/>
        <w:ind w:left="0" w:right="0" w:hanging="0"/>
        <w:jc w:val="left"/>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980"/>
        <w:gridCol w:w="60"/>
        <w:gridCol w:w="1910"/>
        <w:gridCol w:w="60"/>
        <w:gridCol w:w="1160"/>
        <w:gridCol w:w="60"/>
        <w:gridCol w:w="3785"/>
      </w:tblGrid>
      <w:tr>
        <w:trPr/>
        <w:tc>
          <w:tcPr>
            <w:tcW w:w="2950" w:type="dxa"/>
            <w:gridSpan w:val="3"/>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Capital Markets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5" w:type="dxa"/>
            <w:gridSpan w:val="3"/>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CIBC Capital Markets</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Scotiabank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BMO Capital Markets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Bank of Canada Financial Markets</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pPr>
      <w:r>
        <w:rPr>
          <w:caps w:val="false"/>
          <w:smallCaps w:val="false"/>
        </w:rPr>
        <w:t> </w:t>
      </w:r>
      <w:r>
        <w:rPr/>
        <w:t xml:space="preserve"> </w:t>
      </w:r>
    </w:p>
    <w:tbl>
      <w:tblPr>
        <w:tblW w:w="4780" w:type="dxa"/>
        <w:jc w:val="left"/>
        <w:tblInd w:w="0" w:type="dxa"/>
        <w:tblLayout w:type="fixed"/>
        <w:tblCellMar>
          <w:top w:w="0" w:type="dxa"/>
          <w:left w:w="0" w:type="dxa"/>
          <w:bottom w:w="0" w:type="dxa"/>
          <w:right w:w="0" w:type="dxa"/>
        </w:tblCellMar>
      </w:tblPr>
      <w:tblGrid>
        <w:gridCol w:w="4370"/>
        <w:gridCol w:w="410"/>
      </w:tblGrid>
      <w:tr>
        <w:trPr/>
        <w:tc>
          <w:tcPr>
            <w:tcW w:w="4370" w:type="dxa"/>
            <w:tcBorders/>
            <w:shd w:fill="CCEEFF" w:val="clear"/>
            <w:vAlign w:val="center"/>
          </w:tcPr>
          <w:p>
            <w:pPr>
              <w:pStyle w:val="TableContents"/>
              <w:bidi w:val="0"/>
              <w:spacing w:before="0" w:after="283"/>
              <w:ind w:left="0" w:right="0" w:hanging="360"/>
              <w:jc w:val="left"/>
              <w:rPr/>
            </w:pPr>
            <w:hyperlink w:anchor="PS1">
              <w:r>
                <w:rPr>
                  <w:rStyle w:val="InternetLink"/>
                  <w:rFonts w:ascii="Times New Roman;Times;Serif" w:hAnsi="Times New Roman;Times;Serif"/>
                  <w:sz w:val="20"/>
                </w:rPr>
                <w:t>Important Notice</w:t>
              </w:r>
            </w:hyperlink>
          </w:p>
        </w:tc>
        <w:tc>
          <w:tcPr>
            <w:tcW w:w="410" w:type="dxa"/>
            <w:tcBorders/>
            <w:shd w:fill="CCEEFF" w:val="clear"/>
            <w:vAlign w:val="center"/>
          </w:tcPr>
          <w:p>
            <w:pPr>
              <w:pStyle w:val="TableContents"/>
              <w:bidi w:val="0"/>
              <w:spacing w:before="0" w:after="283"/>
              <w:ind w:left="0" w:right="0" w:hanging="360"/>
              <w:jc w:val="right"/>
              <w:rPr/>
            </w:pPr>
            <w:hyperlink w:anchor="PS1">
              <w:r>
                <w:rPr>
                  <w:rStyle w:val="InternetLink"/>
                  <w:rFonts w:ascii="Times New Roman;Times;Serif" w:hAnsi="Times New Roman;Times;Serif"/>
                  <w:sz w:val="20"/>
                </w:rPr>
                <w:t>S-ii</w:t>
              </w:r>
            </w:hyperlink>
          </w:p>
        </w:tc>
      </w:tr>
      <w:tr>
        <w:trPr/>
        <w:tc>
          <w:tcPr>
            <w:tcW w:w="4370" w:type="dxa"/>
            <w:tcBorders/>
            <w:shd w:fill="FFFFFF" w:val="clear"/>
            <w:vAlign w:val="center"/>
          </w:tcPr>
          <w:p>
            <w:pPr>
              <w:pStyle w:val="TableContents"/>
              <w:bidi w:val="0"/>
              <w:spacing w:before="0" w:after="283"/>
              <w:jc w:val="left"/>
              <w:rPr/>
            </w:pPr>
            <w:hyperlink w:anchor="PS2">
              <w:r>
                <w:rPr>
                  <w:rStyle w:val="InternetLink"/>
                  <w:rFonts w:ascii="Times New Roman;Times;Serif" w:hAnsi="Times New Roman;Times;Serif"/>
                  <w:sz w:val="20"/>
                </w:rPr>
                <w:t>Canadian Prospectus</w:t>
              </w:r>
            </w:hyperlink>
          </w:p>
        </w:tc>
        <w:tc>
          <w:tcPr>
            <w:tcW w:w="410" w:type="dxa"/>
            <w:tcBorders/>
            <w:shd w:fill="FFFFFF" w:val="clear"/>
            <w:vAlign w:val="center"/>
          </w:tcPr>
          <w:p>
            <w:pPr>
              <w:pStyle w:val="TableContents"/>
              <w:bidi w:val="0"/>
              <w:spacing w:before="0" w:after="283"/>
              <w:ind w:left="0" w:right="0" w:hanging="360"/>
              <w:jc w:val="right"/>
              <w:rPr/>
            </w:pPr>
            <w:hyperlink w:anchor="PS2">
              <w:r>
                <w:rPr>
                  <w:rStyle w:val="InternetLink"/>
                  <w:rFonts w:ascii="Times New Roman;Times;Serif" w:hAnsi="Times New Roman;Times;Serif"/>
                  <w:sz w:val="20"/>
                </w:rPr>
                <w:t>S-ii</w:t>
              </w:r>
            </w:hyperlink>
          </w:p>
        </w:tc>
      </w:tr>
      <w:tr>
        <w:trPr/>
        <w:tc>
          <w:tcPr>
            <w:tcW w:w="4370" w:type="dxa"/>
            <w:tcBorders/>
            <w:shd w:fill="CCEEFF" w:val="clear"/>
            <w:vAlign w:val="center"/>
          </w:tcPr>
          <w:p>
            <w:pPr>
              <w:pStyle w:val="TableContents"/>
              <w:bidi w:val="0"/>
              <w:spacing w:before="0" w:after="283"/>
              <w:jc w:val="left"/>
              <w:rPr/>
            </w:pPr>
            <w:hyperlink w:anchor="PS3">
              <w:r>
                <w:rPr>
                  <w:rStyle w:val="InternetLink"/>
                  <w:rFonts w:ascii="Times New Roman;Times;Serif" w:hAnsi="Times New Roman;Times;Serif"/>
                  <w:sz w:val="20"/>
                </w:rPr>
                <w:t>Where You Can Find More Information</w:t>
              </w:r>
            </w:hyperlink>
          </w:p>
        </w:tc>
        <w:tc>
          <w:tcPr>
            <w:tcW w:w="410" w:type="dxa"/>
            <w:tcBorders/>
            <w:shd w:fill="CCEEFF" w:val="clear"/>
            <w:vAlign w:val="center"/>
          </w:tcPr>
          <w:p>
            <w:pPr>
              <w:pStyle w:val="TableContents"/>
              <w:bidi w:val="0"/>
              <w:spacing w:before="0" w:after="283"/>
              <w:ind w:left="0" w:right="0" w:hanging="360"/>
              <w:jc w:val="right"/>
              <w:rPr/>
            </w:pPr>
            <w:hyperlink w:anchor="PS3">
              <w:r>
                <w:rPr>
                  <w:rStyle w:val="InternetLink"/>
                  <w:rFonts w:ascii="Times New Roman;Times;Serif" w:hAnsi="Times New Roman;Times;Serif"/>
                  <w:sz w:val="20"/>
                </w:rPr>
                <w:t>S-ii</w:t>
              </w:r>
            </w:hyperlink>
          </w:p>
        </w:tc>
      </w:tr>
      <w:tr>
        <w:trPr/>
        <w:tc>
          <w:tcPr>
            <w:tcW w:w="4370" w:type="dxa"/>
            <w:tcBorders/>
            <w:shd w:fill="FFFFFF" w:val="clear"/>
            <w:vAlign w:val="center"/>
          </w:tcPr>
          <w:p>
            <w:pPr>
              <w:pStyle w:val="TableContents"/>
              <w:bidi w:val="0"/>
              <w:spacing w:before="0" w:after="283"/>
              <w:jc w:val="left"/>
              <w:rPr/>
            </w:pPr>
            <w:hyperlink w:anchor="PS4">
              <w:r>
                <w:rPr>
                  <w:rStyle w:val="InternetLink"/>
                  <w:rFonts w:ascii="Times New Roman;Times;Serif" w:hAnsi="Times New Roman;Times;Serif"/>
                  <w:sz w:val="20"/>
                </w:rPr>
                <w:t>Documents Incorporated By Reference</w:t>
              </w:r>
            </w:hyperlink>
          </w:p>
        </w:tc>
        <w:tc>
          <w:tcPr>
            <w:tcW w:w="410" w:type="dxa"/>
            <w:tcBorders/>
            <w:shd w:fill="FFFFFF" w:val="clear"/>
            <w:vAlign w:val="center"/>
          </w:tcPr>
          <w:p>
            <w:pPr>
              <w:pStyle w:val="TableContents"/>
              <w:bidi w:val="0"/>
              <w:spacing w:before="0" w:after="283"/>
              <w:ind w:left="0" w:right="0" w:hanging="360"/>
              <w:jc w:val="right"/>
              <w:rPr/>
            </w:pPr>
            <w:hyperlink w:anchor="PS4">
              <w:r>
                <w:rPr>
                  <w:rStyle w:val="InternetLink"/>
                  <w:rFonts w:ascii="Times New Roman;Times;Serif" w:hAnsi="Times New Roman;Times;Serif"/>
                  <w:sz w:val="20"/>
                </w:rPr>
                <w:t>S-iv</w:t>
              </w:r>
            </w:hyperlink>
          </w:p>
        </w:tc>
      </w:tr>
      <w:tr>
        <w:trPr/>
        <w:tc>
          <w:tcPr>
            <w:tcW w:w="4370" w:type="dxa"/>
            <w:tcBorders/>
            <w:shd w:fill="CCEEFF" w:val="clear"/>
            <w:vAlign w:val="center"/>
          </w:tcPr>
          <w:p>
            <w:pPr>
              <w:pStyle w:val="TableContents"/>
              <w:bidi w:val="0"/>
              <w:spacing w:before="0" w:after="283"/>
              <w:jc w:val="left"/>
              <w:rPr/>
            </w:pPr>
            <w:hyperlink w:anchor="PS5">
              <w:r>
                <w:rPr>
                  <w:rStyle w:val="InternetLink"/>
                  <w:rFonts w:ascii="Times New Roman;Times;Serif" w:hAnsi="Times New Roman;Times;Serif"/>
                  <w:sz w:val="20"/>
                </w:rPr>
                <w:t>Special Note Regarding Forward-Looking Statements</w:t>
              </w:r>
            </w:hyperlink>
          </w:p>
        </w:tc>
        <w:tc>
          <w:tcPr>
            <w:tcW w:w="410" w:type="dxa"/>
            <w:tcBorders/>
            <w:shd w:fill="CCEEFF" w:val="clear"/>
            <w:vAlign w:val="center"/>
          </w:tcPr>
          <w:p>
            <w:pPr>
              <w:pStyle w:val="TableContents"/>
              <w:bidi w:val="0"/>
              <w:spacing w:before="0" w:after="283"/>
              <w:jc w:val="right"/>
              <w:rPr/>
            </w:pPr>
            <w:hyperlink w:anchor="PS5">
              <w:r>
                <w:rPr>
                  <w:rStyle w:val="InternetLink"/>
                  <w:rFonts w:ascii="Times New Roman;Times;Serif" w:hAnsi="Times New Roman;Times;Serif"/>
                  <w:sz w:val="20"/>
                </w:rPr>
                <w:t>S-v</w:t>
              </w:r>
            </w:hyperlink>
          </w:p>
        </w:tc>
      </w:tr>
      <w:tr>
        <w:trPr/>
        <w:tc>
          <w:tcPr>
            <w:tcW w:w="4370" w:type="dxa"/>
            <w:tcBorders/>
            <w:shd w:fill="FFFFFF" w:val="clear"/>
            <w:vAlign w:val="center"/>
          </w:tcPr>
          <w:p>
            <w:pPr>
              <w:pStyle w:val="TableContents"/>
              <w:bidi w:val="0"/>
              <w:spacing w:before="0" w:after="283"/>
              <w:jc w:val="left"/>
              <w:rPr/>
            </w:pPr>
            <w:hyperlink w:anchor="PS6">
              <w:r>
                <w:rPr>
                  <w:rStyle w:val="InternetLink"/>
                  <w:rFonts w:ascii="Times New Roman;Times;Serif" w:hAnsi="Times New Roman;Times;Serif"/>
                  <w:sz w:val="20"/>
                </w:rPr>
                <w:t>Summary</w:t>
              </w:r>
            </w:hyperlink>
          </w:p>
        </w:tc>
        <w:tc>
          <w:tcPr>
            <w:tcW w:w="410" w:type="dxa"/>
            <w:tcBorders/>
            <w:shd w:fill="FFFFFF" w:val="clear"/>
            <w:vAlign w:val="center"/>
          </w:tcPr>
          <w:p>
            <w:pPr>
              <w:pStyle w:val="TableContents"/>
              <w:bidi w:val="0"/>
              <w:spacing w:before="0" w:after="283"/>
              <w:ind w:left="0" w:right="0" w:hanging="360"/>
              <w:jc w:val="right"/>
              <w:rPr/>
            </w:pPr>
            <w:hyperlink w:anchor="PS6">
              <w:r>
                <w:rPr>
                  <w:rStyle w:val="InternetLink"/>
                  <w:rFonts w:ascii="Times New Roman;Times;Serif" w:hAnsi="Times New Roman;Times;Serif"/>
                  <w:sz w:val="20"/>
                </w:rPr>
                <w:t>S-1</w:t>
              </w:r>
            </w:hyperlink>
          </w:p>
        </w:tc>
      </w:tr>
      <w:tr>
        <w:trPr/>
        <w:tc>
          <w:tcPr>
            <w:tcW w:w="4370" w:type="dxa"/>
            <w:tcBorders/>
            <w:shd w:fill="CCEEFF" w:val="clear"/>
            <w:vAlign w:val="center"/>
          </w:tcPr>
          <w:p>
            <w:pPr>
              <w:pStyle w:val="TableContents"/>
              <w:bidi w:val="0"/>
              <w:spacing w:before="0" w:after="283"/>
              <w:jc w:val="left"/>
              <w:rPr/>
            </w:pPr>
            <w:hyperlink w:anchor="PS7">
              <w:r>
                <w:rPr>
                  <w:rStyle w:val="InternetLink"/>
                  <w:rFonts w:ascii="Times New Roman;Times;Serif" w:hAnsi="Times New Roman;Times;Serif"/>
                  <w:sz w:val="20"/>
                </w:rPr>
                <w:t>Risk Factors</w:t>
              </w:r>
            </w:hyperlink>
          </w:p>
        </w:tc>
        <w:tc>
          <w:tcPr>
            <w:tcW w:w="410" w:type="dxa"/>
            <w:tcBorders/>
            <w:shd w:fill="CCEEFF" w:val="clear"/>
            <w:vAlign w:val="center"/>
          </w:tcPr>
          <w:p>
            <w:pPr>
              <w:pStyle w:val="TableContents"/>
              <w:bidi w:val="0"/>
              <w:spacing w:before="0" w:after="283"/>
              <w:ind w:left="0" w:right="0" w:hanging="360"/>
              <w:jc w:val="right"/>
              <w:rPr/>
            </w:pPr>
            <w:hyperlink w:anchor="PS7">
              <w:r>
                <w:rPr>
                  <w:rStyle w:val="InternetLink"/>
                  <w:rFonts w:ascii="Times New Roman;Times;Serif" w:hAnsi="Times New Roman;Times;Serif"/>
                  <w:sz w:val="20"/>
                </w:rPr>
                <w:t>S-4</w:t>
              </w:r>
            </w:hyperlink>
          </w:p>
        </w:tc>
      </w:tr>
      <w:tr>
        <w:trPr/>
        <w:tc>
          <w:tcPr>
            <w:tcW w:w="4370" w:type="dxa"/>
            <w:tcBorders/>
            <w:shd w:fill="FFFFFF" w:val="clear"/>
            <w:vAlign w:val="center"/>
          </w:tcPr>
          <w:p>
            <w:pPr>
              <w:pStyle w:val="TableContents"/>
              <w:bidi w:val="0"/>
              <w:spacing w:before="0" w:after="283"/>
              <w:jc w:val="left"/>
              <w:rPr/>
            </w:pPr>
            <w:hyperlink w:anchor="PS8">
              <w:r>
                <w:rPr>
                  <w:rStyle w:val="InternetLink"/>
                  <w:rFonts w:ascii="Times New Roman;Times;Serif" w:hAnsi="Times New Roman;Times;Serif"/>
                  <w:sz w:val="20"/>
                </w:rPr>
                <w:t>Use of Proceeds</w:t>
              </w:r>
            </w:hyperlink>
          </w:p>
        </w:tc>
        <w:tc>
          <w:tcPr>
            <w:tcW w:w="410" w:type="dxa"/>
            <w:tcBorders/>
            <w:shd w:fill="FFFFFF" w:val="clear"/>
            <w:vAlign w:val="center"/>
          </w:tcPr>
          <w:p>
            <w:pPr>
              <w:pStyle w:val="TableContents"/>
              <w:bidi w:val="0"/>
              <w:spacing w:before="0" w:after="283"/>
              <w:jc w:val="right"/>
              <w:rPr/>
            </w:pPr>
            <w:hyperlink w:anchor="PS8">
              <w:r>
                <w:rPr>
                  <w:rStyle w:val="InternetLink"/>
                  <w:rFonts w:ascii="Times New Roman;Times;Serif" w:hAnsi="Times New Roman;Times;Serif"/>
                  <w:sz w:val="20"/>
                </w:rPr>
                <w:t>S-6</w:t>
              </w:r>
            </w:hyperlink>
          </w:p>
        </w:tc>
      </w:tr>
      <w:tr>
        <w:trPr/>
        <w:tc>
          <w:tcPr>
            <w:tcW w:w="4370" w:type="dxa"/>
            <w:tcBorders/>
            <w:shd w:fill="CCEEFF" w:val="clear"/>
            <w:vAlign w:val="center"/>
          </w:tcPr>
          <w:p>
            <w:pPr>
              <w:pStyle w:val="TableContents"/>
              <w:bidi w:val="0"/>
              <w:spacing w:before="0" w:after="283"/>
              <w:jc w:val="left"/>
              <w:rPr/>
            </w:pPr>
            <w:hyperlink w:anchor="PS9">
              <w:r>
                <w:rPr>
                  <w:rStyle w:val="InternetLink"/>
                  <w:rFonts w:ascii="Times New Roman;Times;Serif" w:hAnsi="Times New Roman;Times;Serif"/>
                  <w:sz w:val="20"/>
                </w:rPr>
                <w:t>Capitalization</w:t>
              </w:r>
            </w:hyperlink>
          </w:p>
        </w:tc>
        <w:tc>
          <w:tcPr>
            <w:tcW w:w="410" w:type="dxa"/>
            <w:tcBorders/>
            <w:shd w:fill="CCEEFF" w:val="clear"/>
            <w:vAlign w:val="center"/>
          </w:tcPr>
          <w:p>
            <w:pPr>
              <w:pStyle w:val="TableContents"/>
              <w:bidi w:val="0"/>
              <w:spacing w:before="0" w:after="283"/>
              <w:ind w:left="0" w:right="0" w:hanging="360"/>
              <w:jc w:val="right"/>
              <w:rPr/>
            </w:pPr>
            <w:hyperlink w:anchor="PS9">
              <w:r>
                <w:rPr>
                  <w:rStyle w:val="InternetLink"/>
                </w:rPr>
                <w:t>S-7</w:t>
              </w:r>
            </w:hyperlink>
          </w:p>
        </w:tc>
      </w:tr>
      <w:tr>
        <w:trPr/>
        <w:tc>
          <w:tcPr>
            <w:tcW w:w="4370" w:type="dxa"/>
            <w:tcBorders/>
            <w:shd w:fill="FFFFFF" w:val="clear"/>
            <w:vAlign w:val="center"/>
          </w:tcPr>
          <w:p>
            <w:pPr>
              <w:pStyle w:val="TableContents"/>
              <w:bidi w:val="0"/>
              <w:spacing w:before="0" w:after="283"/>
              <w:jc w:val="left"/>
              <w:rPr/>
            </w:pPr>
            <w:hyperlink w:anchor="PS10">
              <w:r>
                <w:rPr>
                  <w:rStyle w:val="InternetLink"/>
                  <w:rFonts w:ascii="Times New Roman;Times;Serif" w:hAnsi="Times New Roman;Times;Serif"/>
                  <w:sz w:val="20"/>
                </w:rPr>
                <w:t>Dividend Policy</w:t>
              </w:r>
            </w:hyperlink>
          </w:p>
        </w:tc>
        <w:tc>
          <w:tcPr>
            <w:tcW w:w="410" w:type="dxa"/>
            <w:tcBorders/>
            <w:shd w:fill="FFFFFF" w:val="clear"/>
            <w:vAlign w:val="center"/>
          </w:tcPr>
          <w:p>
            <w:pPr>
              <w:pStyle w:val="TableContents"/>
              <w:bidi w:val="0"/>
              <w:spacing w:before="0" w:after="283"/>
              <w:ind w:left="0" w:right="0" w:hanging="360"/>
              <w:jc w:val="right"/>
              <w:rPr/>
            </w:pPr>
            <w:hyperlink w:anchor="PS10">
              <w:r>
                <w:rPr>
                  <w:rStyle w:val="InternetLink"/>
                  <w:rFonts w:ascii="Times New Roman;Times;Serif" w:hAnsi="Times New Roman;Times;Serif"/>
                  <w:sz w:val="20"/>
                </w:rPr>
                <w:t>S-8</w:t>
              </w:r>
            </w:hyperlink>
          </w:p>
        </w:tc>
      </w:tr>
      <w:tr>
        <w:trPr/>
        <w:tc>
          <w:tcPr>
            <w:tcW w:w="4370" w:type="dxa"/>
            <w:tcBorders/>
            <w:shd w:fill="CCEEFF" w:val="clear"/>
            <w:vAlign w:val="center"/>
          </w:tcPr>
          <w:p>
            <w:pPr>
              <w:pStyle w:val="TableContents"/>
              <w:bidi w:val="0"/>
              <w:spacing w:before="0" w:after="283"/>
              <w:jc w:val="left"/>
              <w:rPr/>
            </w:pPr>
            <w:hyperlink w:anchor="PS11">
              <w:r>
                <w:rPr>
                  <w:rStyle w:val="InternetLink"/>
                  <w:rFonts w:ascii="Times New Roman;Times;Serif" w:hAnsi="Times New Roman;Times;Serif"/>
                  <w:sz w:val="20"/>
                </w:rPr>
                <w:t>Description of Share Capital</w:t>
              </w:r>
            </w:hyperlink>
          </w:p>
        </w:tc>
        <w:tc>
          <w:tcPr>
            <w:tcW w:w="410" w:type="dxa"/>
            <w:tcBorders/>
            <w:shd w:fill="CCEEFF" w:val="clear"/>
            <w:vAlign w:val="center"/>
          </w:tcPr>
          <w:p>
            <w:pPr>
              <w:pStyle w:val="TableContents"/>
              <w:bidi w:val="0"/>
              <w:spacing w:before="0" w:after="283"/>
              <w:ind w:left="0" w:right="0" w:hanging="360"/>
              <w:jc w:val="right"/>
              <w:rPr/>
            </w:pPr>
            <w:hyperlink w:anchor="PS11">
              <w:r>
                <w:rPr>
                  <w:rStyle w:val="InternetLink"/>
                  <w:rFonts w:ascii="Times New Roman;Times;Serif" w:hAnsi="Times New Roman;Times;Serif"/>
                  <w:sz w:val="20"/>
                </w:rPr>
                <w:t>S-9</w:t>
              </w:r>
            </w:hyperlink>
          </w:p>
        </w:tc>
      </w:tr>
      <w:tr>
        <w:trPr/>
        <w:tc>
          <w:tcPr>
            <w:tcW w:w="4370" w:type="dxa"/>
            <w:tcBorders/>
            <w:shd w:fill="FFFFFF" w:val="clear"/>
            <w:vAlign w:val="center"/>
          </w:tcPr>
          <w:p>
            <w:pPr>
              <w:pStyle w:val="TableContents"/>
              <w:bidi w:val="0"/>
              <w:spacing w:before="0" w:after="283"/>
              <w:jc w:val="left"/>
              <w:rPr/>
            </w:pPr>
            <w:hyperlink w:anchor="PS12">
              <w:r>
                <w:rPr>
                  <w:rStyle w:val="InternetLink"/>
                  <w:rFonts w:ascii="Times New Roman;Times;Serif" w:hAnsi="Times New Roman;Times;Serif"/>
                  <w:sz w:val="20"/>
                </w:rPr>
                <w:t>Material Income Tax Considerations</w:t>
              </w:r>
            </w:hyperlink>
          </w:p>
        </w:tc>
        <w:tc>
          <w:tcPr>
            <w:tcW w:w="410" w:type="dxa"/>
            <w:tcBorders/>
            <w:shd w:fill="FFFFFF" w:val="clear"/>
            <w:vAlign w:val="center"/>
          </w:tcPr>
          <w:p>
            <w:pPr>
              <w:pStyle w:val="TableContents"/>
              <w:bidi w:val="0"/>
              <w:spacing w:before="0" w:after="283"/>
              <w:jc w:val="right"/>
              <w:rPr/>
            </w:pPr>
            <w:hyperlink w:anchor="PS12">
              <w:r>
                <w:rPr>
                  <w:rStyle w:val="InternetLink"/>
                  <w:rFonts w:ascii="Times New Roman;Times;Serif" w:hAnsi="Times New Roman;Times;Serif"/>
                  <w:sz w:val="20"/>
                </w:rPr>
                <w:t>S-11</w:t>
              </w:r>
            </w:hyperlink>
          </w:p>
        </w:tc>
      </w:tr>
      <w:tr>
        <w:trPr/>
        <w:tc>
          <w:tcPr>
            <w:tcW w:w="4370" w:type="dxa"/>
            <w:tcBorders/>
            <w:shd w:fill="CCEEFF" w:val="clear"/>
            <w:vAlign w:val="center"/>
          </w:tcPr>
          <w:p>
            <w:pPr>
              <w:pStyle w:val="TableContents"/>
              <w:bidi w:val="0"/>
              <w:spacing w:before="0" w:after="283"/>
              <w:jc w:val="left"/>
              <w:rPr/>
            </w:pPr>
            <w:hyperlink w:anchor="PS13">
              <w:r>
                <w:rPr>
                  <w:rStyle w:val="InternetLink"/>
                  <w:rFonts w:ascii="Times New Roman;Times;Serif" w:hAnsi="Times New Roman;Times;Serif"/>
                  <w:sz w:val="20"/>
                </w:rPr>
                <w:t>Underwriting</w:t>
              </w:r>
            </w:hyperlink>
          </w:p>
        </w:tc>
        <w:tc>
          <w:tcPr>
            <w:tcW w:w="410" w:type="dxa"/>
            <w:tcBorders/>
            <w:shd w:fill="CCEEFF" w:val="clear"/>
            <w:vAlign w:val="center"/>
          </w:tcPr>
          <w:p>
            <w:pPr>
              <w:pStyle w:val="TableContents"/>
              <w:bidi w:val="0"/>
              <w:spacing w:before="0" w:after="283"/>
              <w:ind w:left="0" w:right="0" w:hanging="360"/>
              <w:jc w:val="right"/>
              <w:rPr/>
            </w:pPr>
            <w:hyperlink w:anchor="PS13">
              <w:r>
                <w:rPr>
                  <w:rStyle w:val="InternetLink"/>
                  <w:rFonts w:ascii="Times New Roman;Times;Serif" w:hAnsi="Times New Roman;Times;Serif"/>
                  <w:sz w:val="20"/>
                </w:rPr>
                <w:t>S-20</w:t>
              </w:r>
            </w:hyperlink>
          </w:p>
        </w:tc>
      </w:tr>
      <w:tr>
        <w:trPr/>
        <w:tc>
          <w:tcPr>
            <w:tcW w:w="4370" w:type="dxa"/>
            <w:tcBorders/>
            <w:shd w:fill="FFFFFF" w:val="clear"/>
            <w:vAlign w:val="center"/>
          </w:tcPr>
          <w:p>
            <w:pPr>
              <w:pStyle w:val="TableContents"/>
              <w:bidi w:val="0"/>
              <w:spacing w:before="0" w:after="283"/>
              <w:jc w:val="left"/>
              <w:rPr/>
            </w:pPr>
            <w:hyperlink w:anchor="PS14">
              <w:r>
                <w:rPr>
                  <w:rStyle w:val="InternetLink"/>
                  <w:rFonts w:ascii="Times New Roman;Times;Serif" w:hAnsi="Times New Roman;Times;Serif"/>
                  <w:sz w:val="20"/>
                </w:rPr>
                <w:t>Validity of Common Shares</w:t>
              </w:r>
            </w:hyperlink>
          </w:p>
        </w:tc>
        <w:tc>
          <w:tcPr>
            <w:tcW w:w="410" w:type="dxa"/>
            <w:tcBorders/>
            <w:shd w:fill="FFFFFF" w:val="clear"/>
            <w:vAlign w:val="center"/>
          </w:tcPr>
          <w:p>
            <w:pPr>
              <w:pStyle w:val="TableContents"/>
              <w:bidi w:val="0"/>
              <w:spacing w:before="0" w:after="283"/>
              <w:jc w:val="right"/>
              <w:rPr/>
            </w:pPr>
            <w:hyperlink w:anchor="PS14">
              <w:r>
                <w:rPr>
                  <w:rStyle w:val="InternetLink"/>
                  <w:rFonts w:ascii="Times New Roman;Times;Serif" w:hAnsi="Times New Roman;Times;Serif"/>
                  <w:sz w:val="20"/>
                </w:rPr>
                <w:t>S-26</w:t>
              </w:r>
            </w:hyperlink>
          </w:p>
        </w:tc>
      </w:tr>
      <w:tr>
        <w:trPr/>
        <w:tc>
          <w:tcPr>
            <w:tcW w:w="4370" w:type="dxa"/>
            <w:tcBorders/>
            <w:shd w:fill="CCEEFF" w:val="clear"/>
            <w:vAlign w:val="center"/>
          </w:tcPr>
          <w:p>
            <w:pPr>
              <w:pStyle w:val="TableContents"/>
              <w:bidi w:val="0"/>
              <w:spacing w:before="0" w:after="283"/>
              <w:jc w:val="left"/>
              <w:rPr/>
            </w:pPr>
            <w:hyperlink w:anchor="PS15">
              <w:r>
                <w:rPr>
                  <w:rStyle w:val="InternetLink"/>
                  <w:rFonts w:ascii="Times New Roman;Times;Serif" w:hAnsi="Times New Roman;Times;Serif"/>
                  <w:sz w:val="20"/>
                </w:rPr>
                <w:t>Experts</w:t>
              </w:r>
            </w:hyperlink>
          </w:p>
        </w:tc>
        <w:tc>
          <w:tcPr>
            <w:tcW w:w="410" w:type="dxa"/>
            <w:tcBorders/>
            <w:shd w:fill="CCEEFF" w:val="clear"/>
            <w:vAlign w:val="center"/>
          </w:tcPr>
          <w:p>
            <w:pPr>
              <w:pStyle w:val="TableContents"/>
              <w:bidi w:val="0"/>
              <w:spacing w:before="0" w:after="283"/>
              <w:jc w:val="right"/>
              <w:rPr/>
            </w:pPr>
            <w:hyperlink w:anchor="PS15">
              <w:r>
                <w:rPr>
                  <w:rStyle w:val="InternetLink"/>
                  <w:rFonts w:ascii="Times New Roman;Times;Serif" w:hAnsi="Times New Roman;Times;Serif"/>
                  <w:sz w:val="20"/>
                </w:rPr>
                <w:t>S-26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800"/>
        <w:gridCol w:w="245"/>
      </w:tblGrid>
      <w:tr>
        <w:trPr/>
        <w:tc>
          <w:tcPr>
            <w:tcW w:w="3800"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right"/>
              <w:rPr/>
            </w:pPr>
            <w:hyperlink w:anchor="sa_001">
              <w:r>
                <w:rPr>
                  <w:rStyle w:val="InternetLink"/>
                  <w:rFonts w:ascii="Times New Roman;Times;Serif" w:hAnsi="Times New Roman;Times;Serif"/>
                  <w:sz w:val="20"/>
                </w:rPr>
                <w:t>1</w:t>
              </w:r>
            </w:hyperlink>
          </w:p>
        </w:tc>
      </w:tr>
      <w:tr>
        <w:trPr/>
        <w:tc>
          <w:tcPr>
            <w:tcW w:w="3800"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sz w:val="20"/>
                </w:rPr>
                <w:t>Note Regarding Forward-Looking Statements</w:t>
              </w:r>
            </w:hyperlink>
          </w:p>
        </w:tc>
        <w:tc>
          <w:tcPr>
            <w:tcW w:w="245" w:type="dxa"/>
            <w:tcBorders/>
            <w:shd w:fill="FFFFFF" w:val="clear"/>
            <w:vAlign w:val="center"/>
          </w:tcPr>
          <w:p>
            <w:pPr>
              <w:pStyle w:val="TableContents"/>
              <w:bidi w:val="0"/>
              <w:spacing w:before="0" w:after="283"/>
              <w:jc w:val="right"/>
              <w:rPr/>
            </w:pPr>
            <w:hyperlink w:anchor="sa_002">
              <w:r>
                <w:rPr>
                  <w:rStyle w:val="InternetLink"/>
                  <w:rFonts w:ascii="Times New Roman;Times;Serif" w:hAnsi="Times New Roman;Times;Serif"/>
                  <w:sz w:val="20"/>
                </w:rPr>
                <w:t>2</w:t>
              </w:r>
            </w:hyperlink>
          </w:p>
        </w:tc>
      </w:tr>
      <w:tr>
        <w:trPr/>
        <w:tc>
          <w:tcPr>
            <w:tcW w:w="3800"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sa_003">
              <w:r>
                <w:rPr>
                  <w:rStyle w:val="InternetLink"/>
                  <w:rFonts w:ascii="Times New Roman;Times;Serif" w:hAnsi="Times New Roman;Times;Serif"/>
                  <w:sz w:val="20"/>
                </w:rPr>
                <w:t>3</w:t>
              </w:r>
            </w:hyperlink>
          </w:p>
        </w:tc>
      </w:tr>
      <w:tr>
        <w:trPr/>
        <w:tc>
          <w:tcPr>
            <w:tcW w:w="3800"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sz w:val="20"/>
                </w:rPr>
                <w:t>Incorporation By Reference</w:t>
              </w:r>
            </w:hyperlink>
          </w:p>
        </w:tc>
        <w:tc>
          <w:tcPr>
            <w:tcW w:w="245" w:type="dxa"/>
            <w:tcBorders/>
            <w:shd w:fill="FFFFFF" w:val="clear"/>
            <w:vAlign w:val="center"/>
          </w:tcPr>
          <w:p>
            <w:pPr>
              <w:pStyle w:val="TableContents"/>
              <w:bidi w:val="0"/>
              <w:spacing w:before="0" w:after="283"/>
              <w:jc w:val="right"/>
              <w:rPr/>
            </w:pPr>
            <w:hyperlink w:anchor="sa_004">
              <w:r>
                <w:rPr>
                  <w:rStyle w:val="InternetLink"/>
                  <w:rFonts w:ascii="Times New Roman;Times;Serif" w:hAnsi="Times New Roman;Times;Serif"/>
                  <w:sz w:val="20"/>
                </w:rPr>
                <w:t>3</w:t>
              </w:r>
            </w:hyperlink>
          </w:p>
        </w:tc>
      </w:tr>
      <w:tr>
        <w:trPr/>
        <w:tc>
          <w:tcPr>
            <w:tcW w:w="3800"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sz w:val="20"/>
                </w:rPr>
                <w:t>The Corporation</w:t>
              </w:r>
            </w:hyperlink>
          </w:p>
        </w:tc>
        <w:tc>
          <w:tcPr>
            <w:tcW w:w="245" w:type="dxa"/>
            <w:tcBorders/>
            <w:shd w:fill="CCEEFF" w:val="clear"/>
            <w:vAlign w:val="center"/>
          </w:tcPr>
          <w:p>
            <w:pPr>
              <w:pStyle w:val="TableContents"/>
              <w:bidi w:val="0"/>
              <w:spacing w:before="0" w:after="283"/>
              <w:jc w:val="right"/>
              <w:rPr/>
            </w:pPr>
            <w:hyperlink w:anchor="sa_005">
              <w:r>
                <w:rPr>
                  <w:rStyle w:val="InternetLink"/>
                  <w:rFonts w:ascii="Times New Roman;Times;Serif" w:hAnsi="Times New Roman;Times;Serif"/>
                  <w:sz w:val="20"/>
                </w:rPr>
                <w:t>4</w:t>
              </w:r>
            </w:hyperlink>
          </w:p>
        </w:tc>
      </w:tr>
      <w:tr>
        <w:trPr/>
        <w:tc>
          <w:tcPr>
            <w:tcW w:w="3800"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sz w:val="20"/>
                </w:rPr>
                <w:t>Risk Factors</w:t>
              </w:r>
            </w:hyperlink>
          </w:p>
        </w:tc>
        <w:tc>
          <w:tcPr>
            <w:tcW w:w="245" w:type="dxa"/>
            <w:tcBorders/>
            <w:shd w:fill="FFFFFF" w:val="clear"/>
            <w:vAlign w:val="center"/>
          </w:tcPr>
          <w:p>
            <w:pPr>
              <w:pStyle w:val="TableContents"/>
              <w:bidi w:val="0"/>
              <w:spacing w:before="0" w:after="283"/>
              <w:jc w:val="right"/>
              <w:rPr/>
            </w:pPr>
            <w:hyperlink w:anchor="sa_006">
              <w:r>
                <w:rPr>
                  <w:rStyle w:val="InternetLink"/>
                  <w:rFonts w:ascii="Times New Roman;Times;Serif" w:hAnsi="Times New Roman;Times;Serif"/>
                  <w:sz w:val="20"/>
                </w:rPr>
                <w:t>4</w:t>
              </w:r>
            </w:hyperlink>
          </w:p>
        </w:tc>
      </w:tr>
      <w:tr>
        <w:trPr/>
        <w:tc>
          <w:tcPr>
            <w:tcW w:w="3800"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sa_007">
              <w:r>
                <w:rPr>
                  <w:rStyle w:val="InternetLink"/>
                  <w:rFonts w:ascii="Times New Roman;Times;Serif" w:hAnsi="Times New Roman;Times;Serif"/>
                  <w:sz w:val="20"/>
                </w:rPr>
                <w:t>5</w:t>
              </w:r>
            </w:hyperlink>
          </w:p>
        </w:tc>
      </w:tr>
      <w:tr>
        <w:trPr/>
        <w:tc>
          <w:tcPr>
            <w:tcW w:w="3800" w:type="dxa"/>
            <w:tcBorders/>
            <w:shd w:fill="FFFFFF" w:val="clear"/>
            <w:vAlign w:val="center"/>
          </w:tcPr>
          <w:p>
            <w:pPr>
              <w:pStyle w:val="TableContents"/>
              <w:bidi w:val="0"/>
              <w:spacing w:before="0" w:after="283"/>
              <w:jc w:val="left"/>
              <w:rPr/>
            </w:pPr>
            <w:hyperlink w:anchor="sa_008">
              <w:r>
                <w:rPr>
                  <w:rStyle w:val="InternetLink"/>
                  <w:rFonts w:ascii="Times New Roman;Times;Serif" w:hAnsi="Times New Roman;Times;Serif"/>
                  <w:sz w:val="20"/>
                </w:rPr>
                <w:t>Description of Debt Securities And Guarantees</w:t>
              </w:r>
            </w:hyperlink>
          </w:p>
        </w:tc>
        <w:tc>
          <w:tcPr>
            <w:tcW w:w="245" w:type="dxa"/>
            <w:tcBorders/>
            <w:shd w:fill="FFFFFF" w:val="clear"/>
            <w:vAlign w:val="center"/>
          </w:tcPr>
          <w:p>
            <w:pPr>
              <w:pStyle w:val="TableContents"/>
              <w:bidi w:val="0"/>
              <w:spacing w:before="0" w:after="283"/>
              <w:jc w:val="right"/>
              <w:rPr/>
            </w:pPr>
            <w:hyperlink w:anchor="sa_008">
              <w:r>
                <w:rPr>
                  <w:rStyle w:val="InternetLink"/>
                  <w:rFonts w:ascii="Times New Roman;Times;Serif" w:hAnsi="Times New Roman;Times;Serif"/>
                  <w:sz w:val="20"/>
                </w:rPr>
                <w:t>5</w:t>
              </w:r>
            </w:hyperlink>
          </w:p>
        </w:tc>
      </w:tr>
      <w:tr>
        <w:trPr/>
        <w:tc>
          <w:tcPr>
            <w:tcW w:w="3800" w:type="dxa"/>
            <w:tcBorders/>
            <w:shd w:fill="CCEEFF" w:val="clear"/>
            <w:vAlign w:val="center"/>
          </w:tcPr>
          <w:p>
            <w:pPr>
              <w:pStyle w:val="TableContents"/>
              <w:bidi w:val="0"/>
              <w:spacing w:before="0" w:after="283"/>
              <w:jc w:val="left"/>
              <w:rPr/>
            </w:pPr>
            <w:hyperlink w:anchor="sa_009">
              <w:r>
                <w:rPr>
                  <w:rStyle w:val="InternetLink"/>
                  <w:rFonts w:ascii="Times New Roman;Times;Serif" w:hAnsi="Times New Roman;Times;Serif"/>
                  <w:sz w:val="20"/>
                </w:rPr>
                <w:t>Description of Share Capital</w:t>
              </w:r>
            </w:hyperlink>
          </w:p>
        </w:tc>
        <w:tc>
          <w:tcPr>
            <w:tcW w:w="245" w:type="dxa"/>
            <w:tcBorders/>
            <w:shd w:fill="CCEEFF" w:val="clear"/>
            <w:vAlign w:val="center"/>
          </w:tcPr>
          <w:p>
            <w:pPr>
              <w:pStyle w:val="TableContents"/>
              <w:bidi w:val="0"/>
              <w:spacing w:before="0" w:after="283"/>
              <w:jc w:val="right"/>
              <w:rPr/>
            </w:pPr>
            <w:hyperlink w:anchor="sa_009">
              <w:r>
                <w:rPr>
                  <w:rStyle w:val="InternetLink"/>
                  <w:rFonts w:ascii="Times New Roman;Times;Serif" w:hAnsi="Times New Roman;Times;Serif"/>
                  <w:sz w:val="20"/>
                </w:rPr>
                <w:t>8</w:t>
              </w:r>
            </w:hyperlink>
          </w:p>
        </w:tc>
      </w:tr>
      <w:tr>
        <w:trPr/>
        <w:tc>
          <w:tcPr>
            <w:tcW w:w="3800" w:type="dxa"/>
            <w:tcBorders/>
            <w:shd w:fill="FFFFFF" w:val="clear"/>
            <w:vAlign w:val="center"/>
          </w:tcPr>
          <w:p>
            <w:pPr>
              <w:pStyle w:val="TableContents"/>
              <w:bidi w:val="0"/>
              <w:spacing w:before="0" w:after="283"/>
              <w:jc w:val="left"/>
              <w:rPr/>
            </w:pPr>
            <w:hyperlink w:anchor="sa_010">
              <w:r>
                <w:rPr>
                  <w:rStyle w:val="InternetLink"/>
                  <w:rFonts w:ascii="Times New Roman;Times;Serif" w:hAnsi="Times New Roman;Times;Serif"/>
                  <w:sz w:val="20"/>
                </w:rPr>
                <w:t>Material Income Tax Considerations</w:t>
              </w:r>
            </w:hyperlink>
          </w:p>
        </w:tc>
        <w:tc>
          <w:tcPr>
            <w:tcW w:w="245" w:type="dxa"/>
            <w:tcBorders/>
            <w:shd w:fill="FFFFFF" w:val="clear"/>
            <w:vAlign w:val="center"/>
          </w:tcPr>
          <w:p>
            <w:pPr>
              <w:pStyle w:val="TableContents"/>
              <w:bidi w:val="0"/>
              <w:spacing w:before="0" w:after="283"/>
              <w:jc w:val="right"/>
              <w:rPr/>
            </w:pPr>
            <w:hyperlink w:anchor="sa_010">
              <w:r>
                <w:rPr>
                  <w:rStyle w:val="InternetLink"/>
                  <w:rFonts w:ascii="Times New Roman;Times;Serif" w:hAnsi="Times New Roman;Times;Serif"/>
                  <w:sz w:val="20"/>
                </w:rPr>
                <w:t>10</w:t>
              </w:r>
            </w:hyperlink>
          </w:p>
        </w:tc>
      </w:tr>
      <w:tr>
        <w:trPr/>
        <w:tc>
          <w:tcPr>
            <w:tcW w:w="3800" w:type="dxa"/>
            <w:tcBorders/>
            <w:shd w:fill="CCEEFF" w:val="clear"/>
            <w:vAlign w:val="center"/>
          </w:tcPr>
          <w:p>
            <w:pPr>
              <w:pStyle w:val="TableContents"/>
              <w:bidi w:val="0"/>
              <w:spacing w:before="0" w:after="283"/>
              <w:jc w:val="left"/>
              <w:rPr/>
            </w:pPr>
            <w:hyperlink w:anchor="sa_011">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right"/>
              <w:rPr/>
            </w:pPr>
            <w:hyperlink w:anchor="sa_011">
              <w:r>
                <w:rPr>
                  <w:rStyle w:val="InternetLink"/>
                  <w:rFonts w:ascii="Times New Roman;Times;Serif" w:hAnsi="Times New Roman;Times;Serif"/>
                  <w:sz w:val="20"/>
                </w:rPr>
                <w:t>10</w:t>
              </w:r>
            </w:hyperlink>
          </w:p>
        </w:tc>
      </w:tr>
      <w:tr>
        <w:trPr/>
        <w:tc>
          <w:tcPr>
            <w:tcW w:w="3800" w:type="dxa"/>
            <w:tcBorders/>
            <w:shd w:fill="FFFFFF" w:val="clear"/>
            <w:vAlign w:val="center"/>
          </w:tcPr>
          <w:p>
            <w:pPr>
              <w:pStyle w:val="TableContents"/>
              <w:bidi w:val="0"/>
              <w:spacing w:before="0" w:after="283"/>
              <w:jc w:val="left"/>
              <w:rPr/>
            </w:pPr>
            <w:hyperlink w:anchor="sa_012">
              <w:r>
                <w:rPr>
                  <w:rStyle w:val="InternetLink"/>
                  <w:rFonts w:ascii="Times New Roman;Times;Serif" w:hAnsi="Times New Roman;Times;Serif"/>
                  <w:sz w:val="20"/>
                </w:rPr>
                <w:t>Enforcement of Civil Liabilities</w:t>
              </w:r>
            </w:hyperlink>
          </w:p>
        </w:tc>
        <w:tc>
          <w:tcPr>
            <w:tcW w:w="245" w:type="dxa"/>
            <w:tcBorders/>
            <w:shd w:fill="FFFFFF" w:val="clear"/>
            <w:vAlign w:val="center"/>
          </w:tcPr>
          <w:p>
            <w:pPr>
              <w:pStyle w:val="TableContents"/>
              <w:bidi w:val="0"/>
              <w:spacing w:before="0" w:after="283"/>
              <w:jc w:val="right"/>
              <w:rPr/>
            </w:pPr>
            <w:hyperlink w:anchor="sa_012">
              <w:r>
                <w:rPr>
                  <w:rStyle w:val="InternetLink"/>
                  <w:rFonts w:ascii="Times New Roman;Times;Serif" w:hAnsi="Times New Roman;Times;Serif"/>
                  <w:sz w:val="20"/>
                </w:rPr>
                <w:t>10</w:t>
              </w:r>
            </w:hyperlink>
          </w:p>
        </w:tc>
      </w:tr>
      <w:tr>
        <w:trPr/>
        <w:tc>
          <w:tcPr>
            <w:tcW w:w="3800" w:type="dxa"/>
            <w:tcBorders/>
            <w:shd w:fill="CCEEFF" w:val="clear"/>
            <w:vAlign w:val="center"/>
          </w:tcPr>
          <w:p>
            <w:pPr>
              <w:pStyle w:val="TableContents"/>
              <w:bidi w:val="0"/>
              <w:spacing w:before="0" w:after="283"/>
              <w:jc w:val="left"/>
              <w:rPr/>
            </w:pPr>
            <w:hyperlink w:anchor="sa_013">
              <w:r>
                <w:rPr>
                  <w:rStyle w:val="InternetLink"/>
                  <w:rFonts w:ascii="Times New Roman;Times;Serif" w:hAnsi="Times New Roman;Times;Serif"/>
                  <w:sz w:val="20"/>
                </w:rPr>
                <w:t>Validity of Securities</w:t>
              </w:r>
            </w:hyperlink>
          </w:p>
        </w:tc>
        <w:tc>
          <w:tcPr>
            <w:tcW w:w="245" w:type="dxa"/>
            <w:tcBorders/>
            <w:shd w:fill="CCEEFF" w:val="clear"/>
            <w:vAlign w:val="center"/>
          </w:tcPr>
          <w:p>
            <w:pPr>
              <w:pStyle w:val="TableContents"/>
              <w:bidi w:val="0"/>
              <w:spacing w:before="0" w:after="283"/>
              <w:jc w:val="right"/>
              <w:rPr/>
            </w:pPr>
            <w:hyperlink w:anchor="sa_013">
              <w:r>
                <w:rPr>
                  <w:rStyle w:val="InternetLink"/>
                  <w:rFonts w:ascii="Times New Roman;Times;Serif" w:hAnsi="Times New Roman;Times;Serif"/>
                  <w:sz w:val="20"/>
                </w:rPr>
                <w:t>11</w:t>
              </w:r>
            </w:hyperlink>
          </w:p>
        </w:tc>
      </w:tr>
      <w:tr>
        <w:trPr/>
        <w:tc>
          <w:tcPr>
            <w:tcW w:w="3800" w:type="dxa"/>
            <w:tcBorders/>
            <w:shd w:fill="FFFFFF" w:val="clear"/>
            <w:vAlign w:val="center"/>
          </w:tcPr>
          <w:p>
            <w:pPr>
              <w:pStyle w:val="TableContents"/>
              <w:bidi w:val="0"/>
              <w:spacing w:before="0" w:after="283"/>
              <w:jc w:val="both"/>
              <w:rPr/>
            </w:pPr>
            <w:hyperlink w:anchor="sa_014">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right"/>
              <w:rPr/>
            </w:pPr>
            <w:hyperlink w:anchor="sa_014">
              <w:r>
                <w:rPr>
                  <w:rStyle w:val="InternetLink"/>
                  <w:rFonts w:ascii="Times New Roman;Times;Serif" w:hAnsi="Times New Roman;Times;Serif"/>
                  <w:sz w:val="20"/>
                </w:rPr>
                <w:t>11</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PS1"/>
      <w:bookmarkEnd w:id="2"/>
      <w:r>
        <w:rPr>
          <w:rFonts w:ascii="Times New Roman;Times;Serif" w:hAnsi="Times New Roman;Times;Serif"/>
          <w:b/>
          <w:i w:val="false"/>
          <w:caps/>
          <w:sz w:val="20"/>
        </w:rPr>
        <w:t>Important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the Offering. The second part, the accompanying prospectus, gives more general information, some of which may not apply to the Offered Shares. The accompanying prospectus, dated August 1, 2025, is referred to as the “prospectus”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and incorporated by reference in this prospectus supplement, the accompanying prospectus and any related free writing prospectus we prepare or authorize. We have not authorized anyone to give you any other information, and we take no responsibility for any other information that others may give you. We are not making an offer of the Offered Shares in any jurisdiction where the offer is not permitted. You should bear in mind that although the information contained in, or incorporated by reference in, this prospectus supplement or the accompanying prospectus is intended to be accurate as of the date on the front of such documents, such information may also be amended, supplemented or updated by the subsequent filing of additional documents deemed by law to be or otherwise incorporated by reference into this prospectus supplement or the accompanying prospectus and by any amendments to the prospectus or subsequently filed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or any “free writing prospectus” we may authorize to be delivered to you and the information contained in the accompanying prospectus or any document incorporated by reference therein filed prior to the date of this prospectus supplement, you should rely on the information in this prospectus supplement or such free writing prospectus, as the case may be.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all capitalized terms and acronyms used and not otherwise defined herein have the meanings provided in the prospectus. In this prospectus supplement, the prospectus and any document incorporated by reference, unless otherwise specified or the context otherwise requires, all dollar amounts are expressed in Canadian dollars or “$” or “CDN$”. “U.S. dollars” or “US$” means the lawful currency of the United States. Unless otherwise indicated, all financial information included in this prospectus supplement, the prospectus and any document incorporated by reference is determined using U.S. GAAP. “U.S. GAAP” means generally accepted accounting principles in the United States. Except as set forth under “Description of Share Capital” and “Dividend Policy”, and unless otherwise specified or the context otherwise requires, all references in this prospectus supplement, the prospectus and any document incorporated by reference to “Enbridge”, the “Corporation”, “we”, “us” and “our” mean Enbridge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PS2"/>
      <w:bookmarkEnd w:id="3"/>
      <w:r>
        <w:rPr>
          <w:rFonts w:ascii="Times New Roman;Times;Serif" w:hAnsi="Times New Roman;Times;Serif"/>
          <w:b/>
          <w:i w:val="false"/>
          <w:caps/>
          <w:sz w:val="20"/>
        </w:rPr>
        <w:t>Canadian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concurrently in the United States pursuant to this prospectus supplement and the accompanying base prospectus and in Canada pursuant to a prospectus supplement to a short form base shelf prospectus filed with the securities commissions or similar authorities in each of the provinces of Canada. This prospectus supplement and the accompanying prospectus do not contain all of the information set forth in the Canadian prospectus supplement and short form base shelf prospectus. Neither this prospectus supplement nor the accompanying prospectus constitutes a prospectus under Canadian securities laws and therefore does not qualify the Offered Shares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PS3"/>
      <w:bookmarkEnd w:id="4"/>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subject to the information requirements of the U.S. Exchange Act, and in accordance therewith files reports and other information with the U.S. Securities and Exchange Commission (the “SEC”). Such reports and other information are available on the SEC’s website at www.sec.gov and the Corporation’s website at www.enbridge.com. The information contained on or accessible from the Corporation’s website does not constitute a part of this prospectus supplement or the accompanying prospectus and is not incorporated by reference herein or therein. Prospective investors may read and download the documents the Corporation has filed with the SEC’s Electronic Data Gathering and Retrieval system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relating to certain securities, including the Offered Shares. This prospectus supplement and the accompanying prospectus are a part of the registration statement and do not contain all the information in the Registration Statement. Whenever a reference is made in this prospectus supplement or the accompanying prospectus to a contract or other document, the reference is only a summary and you should refer to the exhibits that are a part of the Registration Statement for a copy of the contract or other document. You may review a copy of the Registration Statement through the SEC’s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PS4"/>
      <w:bookmarkEnd w:id="5"/>
      <w:r>
        <w:rPr>
          <w:rFonts w:ascii="Times New Roman;Times;Serif" w:hAnsi="Times New Roman;Times;Serif"/>
          <w:b/>
          <w:i w:val="false"/>
          <w:caps/>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 SEC. This means that we can disclose important information to you by referring to those documents and later information that we file with the SEC. The information that we incorporate by reference is an important part of this prospectus supplement and the accompanying prospectus. We incorporate by reference the following documents and any future filings that we make with the SEC under Sections 13(a), 13(c) and 15(d) of the U.S. Exchange Act until the termination of this offering under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Our Annual Report on Form 10-K for the fiscal year ended December 31, 2025, filed on </w:t>
            </w:r>
            <w:hyperlink r:id="rId3">
              <w:r>
                <w:rPr>
                  <w:rStyle w:val="InternetLink"/>
                  <w:rFonts w:ascii="Times New Roman;Times;Serif" w:hAnsi="Times New Roman;Times;Serif"/>
                  <w:u w:val="single"/>
                </w:rPr>
                <w:t>February 13, 2026</w:t>
              </w:r>
            </w:hyperlink>
            <w:r>
              <w:rPr>
                <w:rFonts w:ascii="Times New Roman;Times;Serif" w:hAnsi="Times New Roman;Times;Serif"/>
              </w:rPr>
              <w:t xml:space="preserve">, as amended by Amendment No. 1 on Form 10-K/A, filed on </w:t>
            </w:r>
            <w:hyperlink r:id="rId4">
              <w:r>
                <w:rPr>
                  <w:rStyle w:val="InternetLink"/>
                  <w:rFonts w:ascii="Times New Roman;Times;Serif" w:hAnsi="Times New Roman;Times;Serif"/>
                  <w:u w:val="single"/>
                </w:rPr>
                <w:t>March 10,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Our Quarterly Report on Form 10-Q for the quarter ended March 31, 2026, filed on </w:t>
            </w:r>
            <w:hyperlink r:id="rId5">
              <w:r>
                <w:rPr>
                  <w:rStyle w:val="InternetLink"/>
                  <w:rFonts w:ascii="Times New Roman;Times;Serif" w:hAnsi="Times New Roman;Times;Serif"/>
                  <w:u w:val="single"/>
                </w:rPr>
                <w:t>May 8, 2026</w:t>
              </w:r>
            </w:hyperlink>
            <w:r>
              <w:rPr>
                <w:rFonts w:ascii="Times New Roman;Times;Serif" w:hAnsi="Times New Roman;Times;Serif"/>
              </w:rPr>
              <w:t xml:space="preserve">, and our Quarterly Report on Form 10-Q for the quarter ended June 30, 2026, filed on </w:t>
            </w:r>
            <w:hyperlink r:id="rId6">
              <w:r>
                <w:rPr>
                  <w:rStyle w:val="InternetLink"/>
                  <w:rFonts w:ascii="Times New Roman;Times;Serif" w:hAnsi="Times New Roman;Times;Serif"/>
                  <w:u w:val="single"/>
                </w:rPr>
                <w:t>July 31,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Our Current Reports on Form 8-K filed on </w:t>
            </w:r>
            <w:hyperlink r:id="rId7">
              <w:r>
                <w:rPr>
                  <w:rStyle w:val="InternetLink"/>
                  <w:rFonts w:ascii="Times New Roman;Times;Serif" w:hAnsi="Times New Roman;Times;Serif"/>
                </w:rPr>
                <w:t>March 10, 2026</w:t>
              </w:r>
            </w:hyperlink>
            <w:r>
              <w:rPr>
                <w:rFonts w:ascii="Times New Roman;Times;Serif" w:hAnsi="Times New Roman;Times;Serif"/>
              </w:rPr>
              <w:t xml:space="preserve">, </w:t>
            </w:r>
            <w:hyperlink r:id="rId8">
              <w:r>
                <w:rPr>
                  <w:rStyle w:val="InternetLink"/>
                  <w:rFonts w:ascii="Times New Roman;Times;Serif" w:hAnsi="Times New Roman;Times;Serif"/>
                </w:rPr>
                <w:t>March 20, 2026</w:t>
              </w:r>
            </w:hyperlink>
            <w:r>
              <w:rPr>
                <w:rFonts w:ascii="Times New Roman;Times;Serif" w:hAnsi="Times New Roman;Times;Serif"/>
              </w:rPr>
              <w:t xml:space="preserve">, </w:t>
            </w:r>
            <w:hyperlink r:id="rId9">
              <w:r>
                <w:rPr>
                  <w:rStyle w:val="InternetLink"/>
                  <w:rFonts w:ascii="Times New Roman;Times;Serif" w:hAnsi="Times New Roman;Times;Serif"/>
                </w:rPr>
                <w:t>March 27, 2026</w:t>
              </w:r>
            </w:hyperlink>
            <w:r>
              <w:rPr>
                <w:rFonts w:ascii="Times New Roman;Times;Serif" w:hAnsi="Times New Roman;Times;Serif"/>
              </w:rPr>
              <w:t xml:space="preserve">, </w:t>
            </w:r>
            <w:hyperlink r:id="rId10">
              <w:r>
                <w:rPr>
                  <w:rStyle w:val="InternetLink"/>
                  <w:rFonts w:ascii="Times New Roman;Times;Serif" w:hAnsi="Times New Roman;Times;Serif"/>
                </w:rPr>
                <w:t>May 7, 2026</w:t>
              </w:r>
            </w:hyperlink>
            <w:r>
              <w:rPr>
                <w:rFonts w:ascii="Times New Roman;Times;Serif" w:hAnsi="Times New Roman;Times;Serif"/>
              </w:rPr>
              <w:t xml:space="preserve"> and </w:t>
            </w:r>
            <w:hyperlink r:id="rId11">
              <w:r>
                <w:rPr>
                  <w:rStyle w:val="InternetLink"/>
                  <w:rFonts w:ascii="Times New Roman;Times;Serif" w:hAnsi="Times New Roman;Times;Serif"/>
                </w:rPr>
                <w:t>September 8, 2026</w:t>
              </w:r>
            </w:hyperlink>
            <w:r>
              <w:rPr>
                <w:rFonts w:ascii="Times New Roman;Times;Serif" w:hAnsi="Times New Roman;Times;Serif"/>
              </w:rPr>
              <w:t xml:space="preserve"> (Item 5.02 only);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rPr>
              <w:t xml:space="preserve">The description of our Common Shares in our </w:t>
            </w:r>
            <w:hyperlink r:id="rId12">
              <w:r>
                <w:rPr>
                  <w:rStyle w:val="InternetLink"/>
                  <w:rFonts w:ascii="Times New Roman;Times;Serif" w:hAnsi="Times New Roman;Times;Serif"/>
                  <w:u w:val="single"/>
                </w:rPr>
                <w:t>Registration Statement on Form 8-A (Registration Statement No. 001-15254) filed on April 20, 2018</w:t>
              </w:r>
            </w:hyperlink>
            <w:r>
              <w:rPr>
                <w:rFonts w:ascii="Times New Roman;Times;Serif" w:hAnsi="Times New Roman;Times;Serif"/>
              </w:rPr>
              <w:t xml:space="preserve">, as updated by the description of our Common Shares included in </w:t>
            </w:r>
            <w:hyperlink r:id="rId13">
              <w:r>
                <w:rPr>
                  <w:rStyle w:val="InternetLink"/>
                  <w:rFonts w:ascii="Times New Roman;Times;Serif" w:hAnsi="Times New Roman;Times;Serif"/>
                  <w:u w:val="single"/>
                </w:rPr>
                <w:t>Exhibit 4.16</w:t>
              </w:r>
            </w:hyperlink>
            <w:r>
              <w:rPr>
                <w:rFonts w:ascii="Times New Roman;Times;Serif" w:hAnsi="Times New Roman;Times;Serif"/>
              </w:rPr>
              <w:t xml:space="preserve"> to our Annual Report on Form 10-K for the fiscal year ended December 31, 2025, filed on </w:t>
            </w:r>
            <w:hyperlink r:id="rId14">
              <w:r>
                <w:rPr>
                  <w:rStyle w:val="InternetLink"/>
                  <w:rFonts w:ascii="Times New Roman;Times;Serif" w:hAnsi="Times New Roman;Times;Serif"/>
                </w:rPr>
                <w:t>February 13, 2026</w:t>
              </w:r>
            </w:hyperlink>
            <w:r>
              <w:rPr>
                <w:rFonts w:ascii="Times New Roman;Times;Serif" w:hAnsi="Times New Roman;Times;Serif"/>
              </w:rPr>
              <w:t>, together with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supplement or the accompanying prospectus or in a document incorporated or deemed to be incorporated by reference herein shall be deemed to be modified or superseded for purposes of this prospectus supplement or the accompanying prospectus to the extent that a statement contained therein or herein or in a document incorporated or deemed to be incorporated by reference therein or herein or in any other subsequently filed document which also is or is deemed to be incorporated by reference therein or herein modifies or supersedes such statement. The modifying or superseding statement need not state that it has modified or superseded a prior statement or include any other information set forth in the document that it modifies or supersedes. The making of such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the light of the circumstances in which it was made. Any statement so modified or superseded shall not be deemed, except as so modified or superseded, to constitute a part of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(other than exhibits to such documents, unless such exhibits are specifically incorporated by reference in such documents) may be obtained on request without charge from the Corporate Secretary of Enbridge Inc., Suite 200, 425 – 1st Street S.W., Calgary, Alberta, Canada T2P 3L8 (telephone 1-403-231-3900). Documents that we file with or furnish to the SEC are also available on the SEC’s website at www.sec.gov. This site contains reports, proxy and information statements and other information regarding issuers that file electronically with the SEC. The information on that website is not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PS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including the documents incorporated by reference into the prospectus and this prospectus supplement, contain both historical and forward-looking statements within the meaning of Section 27A of the U.S. Securities Act of 1933, as amended (the “U.S. Securities Act”), and Section 21E of the U.S. Securities Exchange Act of 1934, as amended (the “U.S. Exchange Act”), and forward-looking information within the meaning of Canadian securities laws (collectively, “forward-looking statements”).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the prospectus and this prospectus supplement include, but are not limited to, statements with respect to the following: the Corporation’s corporate vision and strategy, including strategic priorities and enablers; expected supply of, demand for, exports of and prices of crude oil, natural gas, natural gas liquids (“NGL”), liquefied natural gas (“LNG”), renewable natural gas (“RNG”) and renewable energy; energy evolution and lower-carbon energy, and our approach thereto; sustainability goals, practices and performance; industry and market conditions; anticipated utilization of the Corporation’s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United States gas utilities (the “U.S. Gas Utilities”) from Dominion Energy, Inc. (the “Acquisitions”); expected future actions of regulators and courts; government trade policies and potential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the Corporation’s commercially secured growth program; expected future growth, development and expansion opportunities; expected optimization and efficiency opportunities; expectations about the Corporation’s joint venture partners’ ability to complete and finance projects under construction; our ability to successfully integrate the U.S. Gas Utilities; expected closing of acquisitions, dispositions and other transactions and the timing thereof; toll and rate case discussions and proceedings and anticipated timeline and impact therefrom, including those relating to the Gas Distribution and Storage and Gas Transmission businesses; operational, industry, regulatory, climate change and other risks associated with our businesses; this offering, including the closing date thereof and the expected use of proceeds; and our assessment of the potential impact of the various risk factors identified in this prospectus supplement and the accompanying prospectus, including the documents incorporated by reference into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Corporation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the Corporation’s supply chain; operational reliability; maintenance of support and regulatory approvals for the Corporation’s projects and transactions; anticipated in-service dates; weather; the timing, terms and closing of acquisitions, dispositions and other transactions, and of this offering; the realization of anticipated benefits of transactions, including the Acquisitions; governmental legislation; litigation; estimated future dividends and impact of the Corporation’s dividend policy on its future cash flows; the Corporation’s credit ratings; capital project funding; hedging program; expected earnings before interest, income taxes, and depreciation and amortization;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the Corporation’s services. Similarly, exchange rates, inflation, interest rates and tariffs impact the economies and business environments in which the Corporation operates and may impact levels of demand for the Corporation’s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Corporation’s forward-looking statements are subject to risks and uncertainties pertaining to the successful execution of the Corporation’s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this offering;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the Corporation’s ability to maintain adequate insurance in the future at commercially reasonable rates and terms; political decisions; global geopolitical conflicts and conditions; and the supply of, demand for and prices of commodities and other alternative energy, including but not limited to, those risks and uncertainties discussed in the prospectus, this prospectus supplement and in documents incorporated by reference into the prospectus and this prospectus supplement. The impact of any one assumption, risk, uncertainty or factor on a particular forward-looking statement is not determinable with certainty as these are interdependent and the Corporation’s future course of action depends on management’s assessment of all information available at the relevant time. Except to the extent required by applicable law, the Corporation assumes no obligation to publicly update or revise any forward-looking statement made in the prospectus and this prospectus supplement or otherwise, whether as a result of new information, future events or otherwise. All forward-looking statements, whether written or oral, attributable to the Corporation or persons acting on the Corporation’s behalf, are expressly qualified in their entirety by these cautionary statements. For more information on forward-looking statements, the assumptions underlying them, and the risks and uncertainties affecting them, see “Note Regarding Forward-Looking Statements” in the prospectus and “Risk Factors” in this prospectus supplement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S-vi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jc w:val="center"/>
        <w:rPr>
          <w:rFonts w:ascii="Times New Roman;Times;Serif" w:hAnsi="Times New Roman;Times;Serif"/>
          <w:b/>
          <w:i w:val="false"/>
          <w:caps/>
          <w:sz w:val="20"/>
          <w:bdr w:val="single" w:sz="8" w:space="2" w:color="000000"/>
        </w:rPr>
      </w:pPr>
      <w:bookmarkStart w:id="7" w:name="PS6"/>
      <w:bookmarkEnd w:id="7"/>
      <w:r>
        <w:rPr>
          <w:rFonts w:ascii="Times New Roman;Times;Serif" w:hAnsi="Times New Roman;Times;Serif"/>
          <w:b/>
          <w:i w:val="false"/>
          <w:caps/>
          <w:sz w:val="20"/>
          <w:bdr w:val="single" w:sz="8" w:space="2" w:color="000000"/>
        </w:rPr>
        <w:t>Summary</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8" w:space="2" w:color="000000"/>
        </w:rPr>
      </w:pPr>
      <w:r>
        <w:rPr>
          <w:rFonts w:ascii="Times New Roman;Times;Serif" w:hAnsi="Times New Roman;Times;Serif"/>
          <w:b w:val="false"/>
          <w:i/>
          <w:caps w:val="false"/>
          <w:smallCaps w:val="false"/>
          <w:sz w:val="20"/>
          <w:bdr w:val="single" w:sz="8" w:space="2" w:color="000000"/>
        </w:rPr>
        <w:t>This summary highlights information contained elsewhere in this prospectus supplement and the accompanying prospectus. It is not complete and may not contain all of the information that you should consider before investing in the Offered Shares. You should read this entire prospectus supplement and the accompanying prospectus, including the information incorporated by reference in this prospectus supplement and the accompanying prospectus, and in particular the section entitled “Risk Factors” of this prospectus supplement and in such incorporated documents, as well as our consolidated financial statements, incorporated by reference in this prospectus supplement and the accompanying prospectus, carefully.</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2" w:color="000000"/>
        </w:rPr>
      </w:pPr>
      <w:r>
        <w:rPr>
          <w:rFonts w:ascii="Times New Roman;Times;Serif" w:hAnsi="Times New Roman;Times;Serif"/>
          <w:b/>
          <w:i w:val="false"/>
          <w:caps w:val="false"/>
          <w:smallCaps w:val="false"/>
          <w:sz w:val="20"/>
          <w:bdr w:val="single" w:sz="8" w:space="2" w:color="000000"/>
        </w:rPr>
        <w:t>The Corporation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The Corporation is a leading North American energy infrastructure company. The Corporation’s core businesses include Liquids Pipelines, which consists of pipelines and terminals in Canada and the United States that transport, store and export various grades of crude oil and other liquid hydrocarbons; Gas Transmission, which consists of investments in natural gas pipelines and gathering, processing and storage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power generation facilities, as well as geothermal assets, in North America and Europe.</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 xml:space="preserve">Enbridge is a public company, with Common Shares that trade on the TSX and the NYSE under the symbol ENB. The Corporation was incorporated on April 13, 1970 under the Companies Ordinance of the Northwest Territories and was continued under the </w:t>
      </w:r>
      <w:r>
        <w:rPr>
          <w:rFonts w:ascii="Times New Roman;Times;Serif" w:hAnsi="Times New Roman;Times;Serif"/>
          <w:b w:val="false"/>
          <w:i/>
          <w:caps w:val="false"/>
          <w:smallCaps w:val="false"/>
          <w:sz w:val="20"/>
          <w:bdr w:val="single" w:sz="8" w:space="2" w:color="000000"/>
        </w:rPr>
        <w:t xml:space="preserve">Canada Business Corporations Act </w:t>
      </w:r>
      <w:r>
        <w:rPr>
          <w:rFonts w:ascii="Times New Roman;Times;Serif" w:hAnsi="Times New Roman;Times;Serif"/>
          <w:b w:val="false"/>
          <w:i w:val="false"/>
          <w:caps w:val="false"/>
          <w:smallCaps w:val="false"/>
          <w:sz w:val="20"/>
          <w:bdr w:val="single" w:sz="8" w:space="2" w:color="000000"/>
        </w:rPr>
        <w:t>on December 15, 1987. The principal executive offices of the Corporation are located at Suite 200, 425 – 1st Street S.W., Calgary, Alberta, Canada T2P 3L8, and its telephone number is 1-403-231-3900.</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2" w:color="000000"/>
        </w:rPr>
      </w:pPr>
      <w:r>
        <w:rPr>
          <w:rFonts w:ascii="Times New Roman;Times;Serif" w:hAnsi="Times New Roman;Times;Serif"/>
          <w:b/>
          <w:i w:val="false"/>
          <w:caps w:val="false"/>
          <w:smallCaps w:val="false"/>
          <w:sz w:val="20"/>
          <w:bdr w:val="single" w:sz="8" w:space="2" w:color="000000"/>
        </w:rPr>
        <w:t>Recent Developments</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2" w:color="000000"/>
        </w:rPr>
      </w:pPr>
      <w:r>
        <w:rPr>
          <w:rFonts w:ascii="Times New Roman;Times;Serif" w:hAnsi="Times New Roman;Times;Serif"/>
          <w:b/>
          <w:i/>
          <w:caps w:val="false"/>
          <w:smallCaps w:val="false"/>
          <w:sz w:val="20"/>
          <w:bdr w:val="single" w:sz="8" w:space="2" w:color="000000"/>
        </w:rPr>
        <w:t>Tallgrass and Salt Creek Acquisitions</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We recently announced two synergistic liquids infrastructure acquisitions: Tallgrass Energy’s crude transportation business, expanding our leading North American crude oil franchise, and Salt Creek Midstream’s crude gathering business, extending our Permian export value chain.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2" w:color="000000"/>
        </w:rPr>
      </w:pPr>
      <w:r>
        <w:rPr>
          <w:rFonts w:ascii="Times New Roman;Times;Serif" w:hAnsi="Times New Roman;Times;Serif"/>
          <w:b w:val="false"/>
          <w:i/>
          <w:caps w:val="false"/>
          <w:smallCaps w:val="false"/>
          <w:sz w:val="20"/>
          <w:bdr w:val="single" w:sz="8" w:space="2" w:color="000000"/>
        </w:rPr>
        <w:t>Tallgrass Acquisition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On September 9, 2026, we announced that we entered into a definitive agreement with wholly-owned subsidiaries of Tallgrass Energy, LP to acquire a portfolio of crude oil infrastructure assets serving the North American Rockies corridor for aggregate cash consideration of approximately US$2.55 billion (the “Tallgrass Acquisition”). The Tallgrass portfolio includes a 75% equity interest in the Pony Express Pipeline, a 51% equity interest in Powder River Gateway, approximately 8.4 million barrels of terminal storage capacity and Stanchion Energy, a crude marketing business. Upon completion, the Tallgrass Acquisition is expected to strengthen our position in the Bakken, Powder River and Denver-Julesberg basins, complement our existing assets in the region and provide direct connections to approximately 500,000 barrels per day of new refining capacity. The Tallgrass Acquisition is expected to close later in 2026, subject to receipt of customary regulatory approvals and closing conditions, including clearance from the Federal Trade Commission under the Hart-Scott-Rodino Antitrust Improvements Act of 1976.</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2" w:color="000000"/>
        </w:rPr>
      </w:pPr>
      <w:r>
        <w:rPr>
          <w:rFonts w:ascii="Times New Roman;Times;Serif" w:hAnsi="Times New Roman;Times;Serif"/>
          <w:b w:val="false"/>
          <w:i/>
          <w:caps w:val="false"/>
          <w:smallCaps w:val="false"/>
          <w:sz w:val="20"/>
          <w:bdr w:val="single" w:sz="8" w:space="2" w:color="000000"/>
        </w:rPr>
        <w:t>Salt Creek Acquisition</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On August 26, 2026, we announced that we entered into a definitive agreement to acquire Salt Creek Midstream’s crude oil gathering business for cash consideration of US$600 million (the “Salt Creek Acquisition”). The Salt Creek business includes 100% interests in the Orla and Wink North systems and a 50% interest in the Delaware Crossing system, with combined throughput capacity of approximately 420,000 barrels per day. Upon completion, the Salt Creek Acquisition is expected to extend our Permian liquids system into an integrated wellhead-to-water platform linking crude oil production in the Permian Basin to transportation and export through the Enbridge Ingleside Energy Center, North America’s largest crude oil export terminal. The Salt Creek Acquisition is expected to close later in 2026, subject to customary closing conditions, including clearance from the Federal Trade Commission under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2" w:color="000000"/>
        </w:rPr>
      </w:pPr>
      <w:r>
        <w:rPr>
          <w:rFonts w:ascii="Times New Roman;Times;Serif" w:hAnsi="Times New Roman;Times;Serif"/>
          <w:b/>
          <w:i/>
          <w:caps w:val="false"/>
          <w:smallCaps w:val="false"/>
          <w:sz w:val="20"/>
          <w:bdr w:val="single" w:sz="8" w:space="2" w:color="000000"/>
        </w:rPr>
        <w:t>Westcoast System Joint Venture</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2" w:color="000000"/>
        </w:rPr>
      </w:pPr>
      <w:r>
        <w:rPr>
          <w:rFonts w:ascii="Times New Roman;Times;Serif" w:hAnsi="Times New Roman;Times;Serif"/>
          <w:b w:val="false"/>
          <w:i w:val="false"/>
          <w:caps w:val="false"/>
          <w:smallCaps w:val="false"/>
          <w:sz w:val="20"/>
          <w:bdr w:val="single" w:sz="8" w:space="2" w:color="000000"/>
        </w:rPr>
        <w:t>On August 27, 2026, we announced that we entered into a definitive agreement with KKR to form a joint venture to fund the previously sanctioned Aspen Point and Sunrise expansion programs of the Westcoast natural gas pipeline system (the “Westcoast System Joint Venture”). Under the agreement, capital accounts advised by KKR, in collaboration with funds and affiliates managed by Apollo, will invest approximately $2.7 billion to fund the expansion programs, including approximately $0.7 billion of cash we received at closing on September 3, 2026. In exchange, the investors’ cumulative indirect interest in the aggregate Westcoast system is expected to reach approximately 29% when the Sunrise expansion enters service. We expect the transaction to allow us to efficiently recycle capital, strengthen our balance sheet and maintain financial flexibility while retaining majority ownership and operational control over the Westcoast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2" w:color="000000"/>
        </w:rPr>
      </w:pPr>
      <w:r>
        <w:rPr>
          <w:rFonts w:ascii="Times New Roman;Times;Serif" w:hAnsi="Times New Roman;Times;Serif"/>
          <w:b/>
          <w:i w:val="false"/>
          <w:caps w:val="false"/>
          <w:smallCaps w:val="false"/>
          <w:sz w:val="20"/>
          <w:bdr w:val="single" w:sz="8" w:space="2" w:color="000000"/>
        </w:rPr>
        <w:t>The Offering</w:t>
      </w:r>
    </w:p>
    <w:p>
      <w:pPr>
        <w:pStyle w:val="TextBody"/>
        <w:bidi w:val="0"/>
        <w:spacing w:before="0" w:after="0"/>
        <w:ind w:left="0" w:right="0" w:hanging="0"/>
        <w:jc w:val="left"/>
        <w:rPr>
          <w:caps w:val="false"/>
          <w:smallCaps w:val="false"/>
          <w:bdr w:val="single" w:sz="8" w:space="2" w:color="000000"/>
        </w:rPr>
      </w:pPr>
      <w:r>
        <w:rPr>
          <w:caps w:val="false"/>
          <w:smallCaps w:val="false"/>
          <w:bdr w:val="single" w:sz="8" w:space="2" w:color="000000"/>
        </w:rPr>
        <w:t> </w:t>
      </w:r>
    </w:p>
    <w:tbl>
      <w:tblPr>
        <w:tblW w:w="10205" w:type="dxa"/>
        <w:jc w:val="left"/>
        <w:tblInd w:w="0" w:type="dxa"/>
        <w:tblLayout w:type="fixed"/>
        <w:tblCellMar>
          <w:top w:w="0" w:type="dxa"/>
          <w:left w:w="0" w:type="dxa"/>
          <w:bottom w:w="0" w:type="dxa"/>
          <w:right w:w="0" w:type="dxa"/>
        </w:tblCellMar>
      </w:tblPr>
      <w:tblGrid>
        <w:gridCol w:w="1825"/>
        <w:gridCol w:w="60"/>
        <w:gridCol w:w="8320"/>
      </w:tblGrid>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offered</w:t>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xml:space="preserve">                   </w:t>
            </w:r>
            <w:r>
              <w:rPr>
                <w:rFonts w:ascii="Times New Roman;Times;Serif" w:hAnsi="Times New Roman;Times;Serif"/>
                <w:sz w:val="20"/>
              </w:rPr>
              <w:t>Common Shares</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after the Offering</w:t>
            </w:r>
            <w:r>
              <w:rPr>
                <w:rFonts w:ascii="Times New Roman;Times;Serif" w:hAnsi="Times New Roman;Times;Serif"/>
                <w:position w:val="7"/>
                <w:sz w:val="16"/>
                <w:sz w:val="20"/>
              </w:rPr>
              <w:t>(1)</w:t>
            </w:r>
            <w:r>
              <w:rPr>
                <w:rFonts w:ascii="Times New Roman;Times;Serif" w:hAnsi="Times New Roman;Times;Serif"/>
                <w:sz w:val="20"/>
              </w:rPr>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xml:space="preserve">                   </w:t>
            </w:r>
            <w:r>
              <w:rPr>
                <w:rFonts w:ascii="Times New Roman;Times;Serif" w:hAnsi="Times New Roman;Times;Serif"/>
                <w:sz w:val="20"/>
              </w:rPr>
              <w:t>Common Shares (                   Common Shares if the underwriters exercise the Over-Allotment Option in full).</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Over-Allotment Option</w:t>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granted the underwriters an option to purchase up to             additional Common Shares, exercisable in whole or in part, from the date of this prospectus supplement to the date 30 days after the closing of the Offering, to cover over-allotments, if any.</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estimate that the net proceeds to us from the Offering, after deducting the underwriting commission and estimated offering expenses payable by us, assuming that the underwriters do not exercise the Over-Allotment Option, will be approximately $          billion, based on the public offering price of $          per Offered Share.</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 However, these sources are subject to change, based on market conditions and other factors.</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 “Use of Proceeds” for additional information.</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Insider Participation</w:t>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of our directors and executive officers have indicated an interest in purchasing approximately $1.82 million of the Offered Shares at the public offering price. However, because indications of interest are not binding agreements or commitments to purchase, the underwriters could determine to sell more, fewer or no Offered Shares to those persons, or those persons could determine to purchase more, fewer or no Offered Shares in the Offering.</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Investing in the Offered Shares involves risks. See “Risk Factors” beginning on page S-4 of this prospectus supplement and Part I, Item 1A “Risk Factors” in the Corporation’s Annual Report on Form 10-K for the fiscal year ended December 31, 2025 and Quarterly Reports on Form 10-Q for the quarters ended March 31, 2026 and June 30, 2026 for a discussion of factors that you should refer to and carefully consider before deciding to invest in the Offered Shares.</w:t>
            </w:r>
          </w:p>
        </w:tc>
      </w:tr>
      <w:tr>
        <w:trPr/>
        <w:tc>
          <w:tcPr>
            <w:tcW w:w="1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pPr>
            <w:r>
              <w:rPr/>
              <w:t> </w:t>
            </w:r>
          </w:p>
        </w:tc>
      </w:tr>
      <w:tr>
        <w:trPr/>
        <w:tc>
          <w:tcPr>
            <w:tcW w:w="1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NYSE symbol</w:t>
              <w:tab/>
            </w:r>
          </w:p>
        </w:tc>
        <w:tc>
          <w:tcPr>
            <w:tcW w:w="60" w:type="dxa"/>
            <w:tcBorders/>
            <w:vAlign w:val="center"/>
          </w:tcPr>
          <w:p>
            <w:pPr>
              <w:pStyle w:val="TableContents"/>
              <w:bidi w:val="0"/>
              <w:spacing w:before="0" w:after="283"/>
              <w:jc w:val="left"/>
              <w:rPr/>
            </w:pPr>
            <w:r>
              <w:rPr/>
              <w:t> </w:t>
            </w:r>
          </w:p>
        </w:tc>
        <w:tc>
          <w:tcPr>
            <w:tcW w:w="8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ENB</w:t>
            </w:r>
          </w:p>
        </w:tc>
      </w:tr>
    </w:tbl>
    <w:p>
      <w:pPr>
        <w:pStyle w:val="TextBody"/>
        <w:bidi w:val="0"/>
        <w:spacing w:before="0" w:after="0"/>
        <w:ind w:left="1440" w:right="0" w:hanging="1440"/>
        <w:jc w:val="left"/>
        <w:rPr>
          <w:caps w:val="false"/>
          <w:smallCaps w:val="false"/>
          <w:bdr w:val="single" w:sz="8" w:space="2" w:color="000000"/>
        </w:rPr>
      </w:pPr>
      <w:r>
        <w:rPr>
          <w:caps w:val="false"/>
          <w:smallCaps w:val="false"/>
          <w:bdr w:val="single" w:sz="8" w:space="2" w:color="000000"/>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left"/>
              <w:rPr/>
            </w:pPr>
            <w:r>
              <w:rPr/>
              <w:t>The number of Common Shares that will be outstanding after the Offering is based on 2,184,108,639 Common Shares outstanding as at August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PS7"/>
      <w:bookmarkEnd w:id="8"/>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caps w:val="false"/>
          <w:smallCaps w:val="false"/>
          <w:sz w:val="20"/>
        </w:rPr>
        <w:t xml:space="preserve">You should consider carefully the following risks and other information contained in and incorporated by reference into this prospectus supplement and the accompanying prospectus before deciding to invest in the Offered Shares. In particular, we urge you to consider carefully the following risk factors, as well as the risk factors set forth under the heading “Item 1A. Risk Factors” in the Corporation’s </w:t>
      </w:r>
      <w:hyperlink r:id="rId15">
        <w:r>
          <w:rPr>
            <w:rStyle w:val="InternetLink"/>
            <w:rFonts w:ascii="Times New Roman;Times;Serif" w:hAnsi="Times New Roman;Times;Serif"/>
            <w:b w:val="false"/>
            <w:i/>
            <w:caps w:val="false"/>
            <w:smallCaps w:val="false"/>
            <w:sz w:val="20"/>
            <w:u w:val="single"/>
          </w:rPr>
          <w:t>Annual Report on Form 10-K for the fiscal year ended December 31, 2025</w:t>
        </w:r>
      </w:hyperlink>
      <w:r>
        <w:rPr>
          <w:rFonts w:ascii="Times New Roman;Times;Serif" w:hAnsi="Times New Roman;Times;Serif"/>
          <w:b w:val="false"/>
          <w:i/>
          <w:caps w:val="false"/>
          <w:smallCaps w:val="false"/>
          <w:sz w:val="20"/>
        </w:rPr>
        <w:t xml:space="preserve"> and Quarterly Reports on Form 10-Q for the quarters ended </w:t>
      </w:r>
      <w:hyperlink r:id="rId16">
        <w:r>
          <w:rPr>
            <w:rStyle w:val="InternetLink"/>
            <w:rFonts w:ascii="Times New Roman;Times;Serif" w:hAnsi="Times New Roman;Times;Serif"/>
            <w:b w:val="false"/>
            <w:i/>
            <w:caps w:val="false"/>
            <w:smallCaps w:val="false"/>
            <w:sz w:val="20"/>
            <w:u w:val="single"/>
          </w:rPr>
          <w:t>March 31, 2026</w:t>
        </w:r>
      </w:hyperlink>
      <w:r>
        <w:rPr>
          <w:rFonts w:ascii="Times New Roman;Times;Serif" w:hAnsi="Times New Roman;Times;Serif"/>
          <w:b w:val="false"/>
          <w:i/>
          <w:caps w:val="false"/>
          <w:smallCaps w:val="false"/>
          <w:sz w:val="20"/>
        </w:rPr>
        <w:t xml:space="preserve"> and </w:t>
      </w:r>
      <w:hyperlink r:id="rId17">
        <w:r>
          <w:rPr>
            <w:rStyle w:val="InternetLink"/>
            <w:rFonts w:ascii="Times New Roman;Times;Serif" w:hAnsi="Times New Roman;Times;Serif"/>
            <w:b w:val="false"/>
            <w:i/>
            <w:caps w:val="false"/>
            <w:smallCaps w:val="false"/>
            <w:sz w:val="20"/>
            <w:u w:val="single"/>
          </w:rPr>
          <w:t>June 30, 2026</w:t>
        </w:r>
      </w:hyperlink>
      <w:r>
        <w:rPr>
          <w:rFonts w:ascii="Times New Roman;Times;Serif" w:hAnsi="Times New Roman;Times;Serif"/>
          <w:b w:val="false"/>
          <w:i/>
          <w:caps w:val="false"/>
          <w:smallCaps w:val="false"/>
          <w:sz w:val="20"/>
        </w:rPr>
        <w:t>, each incorporated by reference into this prospectus supplement and the accompanying prospectus. The following risks and uncertainties as well as risks and uncertainties presently unknown to us could materially and adversely affect our financial condition and results of operations. In that event, the value of our Common Shares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 and Ownership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Shares may fluctuate significantly,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Shares may fluctuate due to a variety of factors relative to our business, including announcements of new developments, fluctuations in our operating results, sales of our Common Shares in the marketplace, failure to meet analysts’ expectations, changes in expectations as to our future financial performance, any public announcements made in regard to the Offering, the impact of various tax laws or rates and general market conditions, the operating and securities price performance of other companies that investors believe are comparable to us, or the worldwide economy. In recent years, stock markets have experienced significant price fluctuations, which have been unrelated to the operating performance of the affected companies. There can be no assurance that the market price of our Common Shares will not experience significant fluctuations in the future, including fluctuations that are unrelated to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declare and pay dividends may be limited, and any return on investment may be limited to the value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various trust indentures and credit arrangements to which we are a party restrict our ability to declare and pay dividends under certain circumstances and, if such restrictions apply, they may, in turn, have an impact on our ability to declare and pay dividends on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any series of preference shares of the Corporation is outstanding, we are not permitted to declare, pay or set apart for payment any dividends (other than stock dividends in shares of the Corporation ranking junior to the Corporation’s preference shares) on our Common Shares or any other shares of the Corporation ranking junior to the preference shares with respect to the payment of dividends unless all dividends up to and including the dividends payable on the last preceding dividend payment dates on all preference shares then outstanding shall have been declared and paid or set apart for payment at the date of any such action. We are not restricted from issuing additional preference shares and may issue additional preference shares from time to time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restricted from issuing additional Common Shares, and the issuance and sale of a substantial amount of additional Common Shares or other securities could dilute the ownership interest of existing holders of our Common Shares or depress the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prospectus supplement or the accompanying prospectus, or in the documents incorporated by reference herein or therein, we are not restricted from issuing additional Common Shares, including any securities that are convertible into or exchangeable for, or that represent the right to receive, Common Shares. We may issue our Common Shares or other securities from time to time as consideration for future acquisitions and investments in addition to funding a portion of the aggregate purchase price with the issuance of our Common Shares. If any such acquisition or investment is significant, the number of Common Shares, or the number or aggregate principal amount, as the case may be, of other securities that we may issue may in turn be substantial.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the availability for sale of substantial amounts of our Common Shares (including in connection with an acquisition or investment) in the public market could adversely affect the prevailing market price of our Common Shares. In addition, the issuance of additional Common Shares or such other securities will dilute the ownership interest of the existing holders of our Common Shares. We cannot predict the size of future issuances of our Common Shares or the effect, if any, that future issuances and sales of our Common Shares will have on the market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as a result are dependent on our subsidiaries to generate sufficient cash and distribute cash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as a result, our ability to pay dividends or make payments on our indebtedness, fund our ongoing operations and invest in capital expenditures and any acquisitions will depend on our subsidiaries’ ability to generate cash in the future and distribute that cash to us. It is possible that our subsidiaries may not generate cash from operations in an amount sufficient to enable us to declare or pay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Shares are subordinate to all of our debts and liabilities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equity capital of the Corporation which rank subordinate to debt and preference shares, if any, in the event of an insolvency or winding-up of the Corporation. If we were to become insolvent or be wound up, the Corporation’s assets would be used to pay liabilities and other debt before payments could be made on the preference shares, if any, and, subsequently, on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PS8"/>
      <w:bookmarkEnd w:id="9"/>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our issuance and sale of the Offered Shares will be approximately $       billion, or approximately $       billion if the underwriters exercise the Over-Allotment Option in full, based on the public offering price of $       per Offered Share, after deducting the underwriting commission and estimated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Offering to partially fund announced acquisitions and to create financial flexibility to fund potential future growth opportunities. A portion of the net proceeds of the Offering may be temporarily used to reduce indebtedness or invested in short-term liquid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PS9"/>
      <w:bookmarkEnd w:id="10"/>
      <w:r>
        <w:rPr>
          <w:rFonts w:ascii="Times New Roman;Times;Serif" w:hAnsi="Times New Roman;Times;Serif"/>
          <w:b/>
          <w:i w:val="false"/>
          <w:caps/>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our capitalization as of June 30,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548"/>
        <w:gridCol w:w="9491"/>
      </w:tblGrid>
      <w:tr>
        <w:trPr/>
        <w:tc>
          <w:tcPr>
            <w:tcW w:w="16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rFonts w:ascii="Symbol" w:hAnsi="Symbol"/>
              </w:rPr>
            </w:pPr>
            <w:r>
              <w:rPr>
                <w:rFonts w:ascii="Symbol" w:hAnsi="Symbol"/>
              </w:rPr>
              <w:t>·</w:t>
            </w:r>
          </w:p>
        </w:tc>
        <w:tc>
          <w:tcPr>
            <w:tcW w:w="94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an actual basis;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as adjusted basis to give effect to our issuance and sale of Offered Shares at the public offering price of $         per Offered Share, after deducting the underwriting commission and estimated offering expenses payable by us. The as adjusted column assumes no exercise by the underwriters of the Over-Allotment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You should read this table together with our “Management’s Discussion and Analysis of Financial Condition and Results of Operations,” the consolidated financial statements and related notes thereto and the unaudited interim consolidated financial statements for the quarter ended June 30, 2026 and the related notes thereto in our </w:t>
      </w:r>
      <w:hyperlink r:id="rId18">
        <w:r>
          <w:rPr>
            <w:rStyle w:val="InternetLink"/>
            <w:rFonts w:ascii="Times New Roman;Times;Serif" w:hAnsi="Times New Roman;Times;Serif"/>
            <w:b w:val="false"/>
            <w:i w:val="false"/>
            <w:caps w:val="false"/>
            <w:smallCaps w:val="false"/>
            <w:sz w:val="20"/>
            <w:u w:val="single"/>
          </w:rPr>
          <w:t>Quarterly Report on Form 10-Q for the period ended June 30, 2026</w:t>
        </w:r>
      </w:hyperlink>
      <w:r>
        <w:rPr>
          <w:rFonts w:ascii="Times New Roman;Times;Serif" w:hAnsi="Times New Roman;Times;Serif"/>
          <w:b w:val="false"/>
          <w:i w:val="false"/>
          <w:caps w:val="false"/>
          <w:smallCaps w:val="false"/>
          <w:sz w:val="20"/>
        </w:rPr>
        <w:t>, which are incorporated by reference in this prospectus supplement and the accompanying prospectus. All U.S. dollar amounts in the following table have been converted to Canadian dollars using the published WM/Reuters 4 pm London exchange rate on June 30, 2026 of US$1.00 per $1.4188.</w:t>
      </w:r>
    </w:p>
    <w:p>
      <w:pPr>
        <w:pStyle w:val="TextBody"/>
        <w:bidi w:val="0"/>
        <w:spacing w:before="0" w:after="0"/>
        <w:ind w:left="0" w:right="0" w:hanging="0"/>
        <w:jc w:val="left"/>
        <w:rPr>
          <w:caps w:val="false"/>
          <w:smallCaps w:val="false"/>
        </w:rPr>
      </w:pPr>
      <w:r>
        <w:rPr>
          <w:caps w:val="false"/>
          <w:smallCaps w:val="false"/>
        </w:rPr>
        <w:t> </w:t>
      </w:r>
    </w:p>
    <w:tbl>
      <w:tblPr>
        <w:tblW w:w="6404" w:type="dxa"/>
        <w:jc w:val="left"/>
        <w:tblInd w:w="0" w:type="dxa"/>
        <w:tblLayout w:type="fixed"/>
        <w:tblCellMar>
          <w:top w:w="0" w:type="dxa"/>
          <w:left w:w="0" w:type="dxa"/>
          <w:bottom w:w="0" w:type="dxa"/>
          <w:right w:w="0" w:type="dxa"/>
        </w:tblCellMar>
      </w:tblPr>
      <w:tblGrid>
        <w:gridCol w:w="3965"/>
        <w:gridCol w:w="60"/>
        <w:gridCol w:w="135"/>
        <w:gridCol w:w="754"/>
        <w:gridCol w:w="86"/>
        <w:gridCol w:w="65"/>
        <w:gridCol w:w="558"/>
        <w:gridCol w:w="706"/>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w:t>
              <w:br/>
              <w:t>for the Offered</w:t>
              <w:br/>
              <w:t>Shares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(millions of dollars)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(excluding current portion)</w:t>
            </w:r>
            <w:r>
              <w:rPr>
                <w:rFonts w:ascii="Times New Roman;Times;Serif" w:hAnsi="Times New Roman;Times;Serif"/>
                <w:b w:val="false"/>
                <w:i w:val="false"/>
                <w:caps w:val="false"/>
                <w:smallCaps w:val="false"/>
                <w:position w:val="7"/>
                <w:sz w:val="16"/>
                <w:sz w:val="20"/>
              </w:rPr>
              <w:t>(3)(4)</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103,852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shares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71,949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(20,334</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pPr>
            <w:r>
              <w:rPr/>
              <w:t> </w:t>
            </w:r>
          </w:p>
        </w:tc>
        <w:tc>
          <w:tcPr>
            <w:tcW w:w="5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Enbridge Inc. shareholders’ equity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65,349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169,201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283"/>
              <w:jc w:val="left"/>
              <w:rPr/>
            </w:pPr>
            <w:r>
              <w:rPr/>
              <w:t>Does not reflect the receipt by the Corporation on September 3, 2026 of approximately $700 million in cash in connection with the closing of the Westcoast System Joint Venture. See “Recent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left"/>
              <w:rPr/>
            </w:pPr>
            <w:r>
              <w:rPr/>
              <w:t>Cash and cash equivalents on an adjusted basis exclude the net proceeds from the Offering, a portion of which may be temporarily used to reduce indebtedness or invested in short-term liquid investments. See “Use of Proceeds.”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left"/>
              <w:rPr/>
            </w:pPr>
            <w:r>
              <w:rPr/>
              <w:t>As at June 30, 2026, $12.8 billion of outstanding commercial paper and credit facility draws, net of short-term borrowings and non-revolving credit facilities that mature within one year, have been included in long-term debt.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left"/>
              <w:rPr/>
            </w:pPr>
            <w:r>
              <w:rPr/>
              <w:t>Does not reflect (i) the issuance by Enbridge Gas Inc. on August 19, 2026 of $600 million aggregate principal amount of 4.65% unsecured medium term notes due August 19, 2036 and $400 million aggregate principal amount of 5.35% unsecured medium term notes due August 19, 2056, and (ii) the repayment by Enbridge Gas Inc. on August 5, 2026 of $300 million aggregate principal amount of 2.50% unsecured medium term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PS10"/>
      <w:bookmarkEnd w:id="11"/>
      <w:r>
        <w:rPr>
          <w:rFonts w:ascii="Times New Roman;Times;Serif" w:hAnsi="Times New Roman;Times;Serif"/>
          <w:b/>
          <w:i w:val="false"/>
          <w:caps/>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Common Share dividends in every year since we became a publicly traded company in 1953. In December 2025, we announced a 3% increase in our quarterly dividend to $0.9700 per Common Share, or $3.88 annualized, effective with the dividend payable on March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total dividends paid in cash were $8.2 billion and $7.9 billion, respectively, which are reflected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PS11"/>
      <w:bookmarkEnd w:id="12"/>
      <w:r>
        <w:rPr>
          <w:rFonts w:ascii="Times New Roman;Times;Serif" w:hAnsi="Times New Roman;Times;Serif"/>
          <w:b/>
          <w:i w:val="false"/>
          <w:caps/>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the terms “Corporation” and “Enbridge” refer only to Enbridge Inc. and not to its subsidiaries, partnerships or joint venture interests. The following sets forth the terms and provisions of the existing capital of the Corporation. The following description is subject to, and qualified by reference to, the terms and provisions of the Corporation’s articles and by-laws. The Corporation is authorized to issue an unlimited number of Common Shares and an unlimited number of preference 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Enbridge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Share of the Corporation entitles the holder to one vote for each Common Share held at all meetings of shareholders of the Corporation, except meetings at which only holders of another specified class or series of shares are entitled to vote, to receive dividends if, as and when declared by the board of directors of the Corporation, subject to prior satisfaction of preferential dividends applicable to any preference shares, and to participate ratably in any distribution of the assets of the Corporation upon a liquidation, dissolution or winding up, subject to prior rights and privileges attaching to the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and transfer agent for the Common Shares in Canada is Computershare Trust Company of Canada at its principal transfer offices in Calgary, Alberta; Vancouver, British Columbia; and Montréal, Québec, and the registrar and transfer agent for the Common Shares in the United States is Computershare Trust Company, N.A. at its principal transfer offices in Canton, Massachusetts; Jersey City, New Jersey; and Louisville, Kentucky.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Corporation is a party to a shareholder rights plan agreement (the “Shareholder Rights Plan”), dated as of November 9, 1995 and last amended and restated as of May 6, 2026, between Enbridge Inc. and Computershare Trust Company of Canada, as rights agent. The Shareholder Rights Plan encourages the fair treatment of shareholders if there is a take-over bid for control of the Corporation. The Shareholder Rights Plan was last confirmed at our annual meeting of shareholders on May 6, 2026 and must be reconfirmed and approved by a resolution passed by a majority vote of shareholders every three years thereafter. For further particulars, reference should be made to the Shareholder Rights Plan, filed as </w:t>
      </w:r>
      <w:hyperlink r:id="rId19">
        <w:r>
          <w:rPr>
            <w:rStyle w:val="InternetLink"/>
            <w:rFonts w:ascii="Times New Roman;Times;Serif" w:hAnsi="Times New Roman;Times;Serif"/>
            <w:b w:val="false"/>
            <w:i w:val="false"/>
            <w:caps w:val="false"/>
            <w:smallCaps w:val="false"/>
            <w:sz w:val="20"/>
            <w:u w:val="single"/>
          </w:rPr>
          <w:t>Exhibit 4.1</w:t>
        </w:r>
      </w:hyperlink>
      <w:r>
        <w:rPr>
          <w:rFonts w:ascii="Times New Roman;Times;Serif" w:hAnsi="Times New Roman;Times;Serif"/>
          <w:b w:val="false"/>
          <w:i w:val="false"/>
          <w:caps w:val="false"/>
          <w:smallCaps w:val="false"/>
          <w:sz w:val="20"/>
        </w:rPr>
        <w:t xml:space="preserve"> to the Corporation’s Current Report on Form 8-K filed on May 7, 2026, which is herein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may be issued at any time or from time to time in one or more series. Before any preference shares of a series are issued, the board of directors of the Corporation shall fix the number of preference shares that will form such series and shall, subject to the limitations set out in the articles of the Corporation, determine the designation, rights, privileges, restrictions and conditions to be attached to the preference shares of such series, except that no series shall be granted the right to vote at a general meeting of the shareholders of the Corporation or the right to be convertible or exchangeable for Common Shares,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preference shares issued that are to be convertible into other securities of the Corporation, including other series of preference shares, no amounts will be payable to convert those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of each series shall rank on parity with the preference shares of every other series with respect to dividends and return of capital and shall be entitled to a preference over the Common Shares and over any other shares ranking junior to the preference shares with respect to priority in payment of dividends and in the distribution of assets in the event of liquidation, dissolution or winding-up of the Corporation, whether voluntary or involuntary, or any other distribution of the assets of the Corporation among its shareholders for the purpose of winding-up its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holders of the preference shares as a class shall not be entitled to receive notice of, to attend or to vote at any meeting of the shareholders of the Corporation, provided that the rights, privileges, restrictions and conditions attached to the preference shares as a class may be added to, changed or removed only with the approval of the holders of the preference shares given in such manner as may then be required by law, at a meeting of the holders of the preference shares duly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NYSE and the TSX under the trading symbol “ENB”.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PS12"/>
      <w:bookmarkEnd w:id="13"/>
      <w:r>
        <w:rPr>
          <w:rFonts w:ascii="Times New Roman;Times;Serif" w:hAnsi="Times New Roman;Times;Serif"/>
          <w:b/>
          <w:i w:val="false"/>
          <w:caps/>
          <w:sz w:val="20"/>
        </w:rPr>
        <w:t>Material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Canadian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as of the date hereof, a summary of the principal Canadian federal income tax considerations under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thereunder (the “Tax Act”) generally applicable to a holder who acquires Offered Shares as beneficial owner pursuant to the Offering and who, at all relevant times, for the purposes of the Tax Act, deals at arm’s length with the Corporation and each of the Underwriters, is not affiliated with the Corporation or any of the Underwriters, and will acquire and hold such Offered Shares as capital property (each, a “Holder”), all within the meaning of the Tax Act. The Offered Shares will generally be considered to be capital property to a Holder unless the Holder holds or uses the Offered Shares or is deemed to hold or use the Offered Shares in the course of carrying on a business of trading or dealing in securities or has acquired them or is deemed to have acquired them in a transaction or transactions considered to be an adventure or concern in the nature of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apply to a Holder (a) that is a “financial institution” for purposes of the mark-to-market rules contained in the Tax Act; (b) an interest in which is or would constitute a “tax shelter investment” as defined in the Tax Act; (c) that is a “specified financial institution” as defined in the Tax Act; (d) that reports its “Canadian tax results”, as defined in the Tax Act, in a currency other than Canadian currency; (e) that is exempt from tax under the Tax Act; (f) that has entered into, or will enter into, a “synthetic disposition arrangement” or a “derivative forward agreement” with respect to the Offered Shares as those terms are defined in the Tax Act; or (g) that receives dividends on Offered Shares under or as part of a “dividend rental arrangement” as defined in the Tax Act. Such Holders should consult their own tax advisors with respect to an investment in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considerations, not discussed herein, may apply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Offered Shares, controlled by a non-resident person or a group of persons comprised of any combination of non-resident corporations, non-resident individuals or non-resident trusts that do not deal with each other at arm’s length for purposes of the “foreign affiliate dumping” rules in section 212.3 of the Tax Act. Such Holders should consult their own tax advisors with respect to the consequences of purchasing the Offered Shares pursuant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summary is based upon the current provisions of the Tax Act, any specific proposals to amend the Tax Act (the “Tax Proposals”) that have been published in writing by or on behalf of the Minister of Finance (Canada) prior to the date hereof, the </w:t>
      </w:r>
      <w:r>
        <w:rPr>
          <w:rFonts w:ascii="Times New Roman;Times;Serif" w:hAnsi="Times New Roman;Times;Serif"/>
          <w:b w:val="false"/>
          <w:i/>
          <w:caps w:val="false"/>
          <w:smallCaps w:val="false"/>
          <w:sz w:val="20"/>
        </w:rPr>
        <w:t xml:space="preserve">Convention between Canada and the United States of America with Respect to Taxes on Income and on Capital </w:t>
      </w:r>
      <w:r>
        <w:rPr>
          <w:rFonts w:ascii="Times New Roman;Times;Serif" w:hAnsi="Times New Roman;Times;Serif"/>
          <w:b w:val="false"/>
          <w:i w:val="false"/>
          <w:caps w:val="false"/>
          <w:smallCaps w:val="false"/>
          <w:sz w:val="20"/>
        </w:rPr>
        <w:t>(1980) in force as of the date hereof (the “Treaty”), and counsel’s understanding of the current published administrative policies of the Canada Revenue Agency (the “CRA”) published in writing by it and publicly available prior to the date hereof. This summary assumes that any Tax Proposals will be enacted in the form proposed and does not take into account or anticipate any other changes in law, whether by way of judicial, legislative or governmental decision or action, or change in administrative policies or assessing practices of the CRA, nor does it take into account other federal or any provincial, territorial or foreign income tax legislation or considerations. No assurances can be given that the Tax Proposals will be enacted as proposed or at all, or that legislative, judicial or administrative changes will not modify or change the statements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exhaustive of all possible Canadian federal income tax considerations applicable to an investment in the Offered Shares. This summary is of a general nature only and is not intended to be, nor should it be construed to be, legal or income tax advice to any particular Holder. Holders should consult their own income tax advisors with respect to the tax consequences applicable to them based on their own particular circumstances, including the application and effect of the income and other tax laws of any country, province or other jurisdiction that may be applicable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purposes of the Tax Act, all amounts relating to the acquisition, holding or disposition of Common Shares (including dividends, adjusted cost base and proceeds of disposition) must be determined in Canadian dollars based on the relevant rate of exchange required under the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Residents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portion of this summary is generally applicable to a Holder who, for the purposes of the Tax Act and any applicable income tax treaty or convention, is resident or deemed to be resident in Canada at all relevant times (each, a “Resident Holder”). Certain Resident Holders whose Offered Shares might not otherwise qualify as capital property may be entitled to make an irrevocable election pursuant to subsection 39(4) of the Tax Act to have the Offered Shares, and every other “Canadian security” (as defined by the Tax Act) owned by such Resident Holder in the taxation year of the election and in all subsequent taxation years, deemed to be capital property. Resident Holders should consult their own tax advisors for advice as to whether an election under subsection 39(4) of the Tax Act is available or advisable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or deemed to be received on the Offered Shares in the taxation year of a Resident Holder will be included in computing a Resident Holder’s income for the year. In the case of a Resident Holder who is an individual (including certain trusts), dividends (including deemed dividends) received on the Offered Shares will be subject to the gross-up and dividend tax credit rules applicable to “taxable dividends” (as defined in the Tax Act) received by an individual from “taxable Canadian corporations” (as defined in the Tax Act), including the enhanced gross-up and dividend tax credit in respect of taxable dividends properly designated by the Corporation as “eligible dividends” (as defined in the Tax Act) in accordance with the provisions of the Tax Act. There may be limitations on the ability of the Corporation to designate dividends as eligible dividends. Resident Holders who are individuals (including certain trusts) should consult their own tax advisors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Resident Holder that is a corporation, dividends (including deemed dividends) received on the Offered Shares will be included in the Resident Holder’s income and will generally be deductible in computing such Resident Holder’s taxable income, subject to all the rules and restrictions under the Tax Act in that regard.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Holder that is a “private corporation” or “subject corporation” (as such terms are defined in the Tax Act) may be liable to pay an additional tax (refundable in certain circumstances) under Part IV of the Tax Act on dividends received or deemed to be received on the Offered Shares to the extent that such dividends are deductible in computing the Resident Holder’s taxable income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Disposition of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Holder who disposes of, or is deemed to have disposed of, an Offered Share (other than on a disposition to the Corporation that is not a sale in the open market in the manner in which Offered Shares would normally be purchased by any member of the public in the open market) will generally realize a capital gain (or incur a capital loss) equal to the amount by which the proceeds of disposition in respect of the Offered Share exceed (or are less than) the aggregate of the adjusted cost base to the Resident Holder of such Offered Share immediately before the disposition or deemed disposition and any reasonable costs of disposition. The adjusted cost base to a Resident Holder of an Offered Share will be determined by averaging the cost of that Offered Share with the adjusted cost base (determined immediately before the acquisition of the Offered Share) of all other Common Shares held as capital property at that time by the Resident Holder. The tax treatment of capital gains and capital losses is discussed in greater detail below under the subheading “Taxation of 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one-half of any capital gain (a “taxable capital gain”) realized by a Resident Holder must be included in the Resident Holder’s income for the taxation year in which the disposition occurs. Subject to and in accordance with the provisions of the Tax Act, one-half of any capital loss realized by a Resident Holder (an “allowable capital loss”) must generally be deducted from taxable capital gains realized by the Resident Holder in the taxation year in which the disposition occurs. Allowable capital losses in excess of taxable capital gains for the taxation year of disposition may be carried back and deducted in any of the three preceding taxation years or carried forward and deducted in any subsequent year against net taxable capital gains realized in such years, to the extent and in the circumstances set out in the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 loss realized on the disposition or deemed disposition of an Offered Share by a Resident Holder that is a corporation may in certain circumstances be reduced by the amount of dividends received or deemed to have been received by the Resident Holder on such share (or on a share for which such share was substituted) to the extent and in the circumstances set out in the Tax Act. Similar rules may apply where a corporation is a member of a partnership or a beneficiary of a trust that owns Offered Shares, directly or indirectly, through a partnership or trust. A Resident Holder to which these rules may be relevant is urged to consult its own tax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Refundable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Holder that is, throughout the relevant taxation year, a “Canadian-controlled private corporation” (as defined in the Tax Act) or that is or is deemed to be, at any time during the relevant taxation year, a “substantive CCPC” (as defined in the Tax Act), may be liable to pay an additional tax (refundable in certain circumstances) on its “aggregate investment income” (as defined in the Tax Act), which is defined to include an amount in respect of taxable capital gains and dividends or deemed dividends that are not deductible in computing the Resident Holder’s taxable income. Resident Holders should consult their own tax advisors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Alternative Minimum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realized and dividends received (or deemed to be received) by a Resident Holder who is an individual (including certain trusts) may give rise to alternative minimum tax under the Tax Act. Resident Holders who are individuals (including certain trusts) should consult their own tax advisors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Non-Residents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portion of this summary is generally applicable to a Holder who, for purposes of the Tax Act and any applicable income tax treaty or convention and at all relevant times: (i) is not resident or deemed to be resident in Canada, and (ii) does not use or hold, and is not deemed to use or hold, Offered Shares in connection with a business (including an adventure or concern in the nature of trade) carried on in Canada (each, a “Non-Resident Holder”). Special considerations, which are not discussed in this summary, may apply to a Non-Resident Holder that is an insurer that carries on an insurance business in Canada and elsewhere or that is an “authorized foreign bank” (as defined in the Tax Act). Such Non-Resident Holders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or credited, or deemed to be paid or credited, to a Non-Resident Holder on the Offered Shares will be subject to Canadian withholding tax under the Tax Act at the rate of 25% of the gross amount of the dividend, subject to any reduction in the rate of withholding to which the Non-Resident Holder is entitled under any applicable income tax treaty or convention. For example, under the Treaty, the withholding tax rate on dividends paid or credited, or deemed to be paid or credited, on the Offered Shares to a Non-Resident Holder who is the beneficial owner of the dividends and who is resident in the United States for purposes of, and is fully entitled to the benefits of, the Treaty, is generally reduced to 15%. Non-Resident Holders should consult their own tax advisors to determine their entitlement to benefits under any applicable income tax treaty or convention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Disposition of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Holder will not be subject to tax under the Tax Act on any capital gain realized by such Non-Resident Holder on a disposition or deemed disposition of Offered Shares, nor will capital losses arising therefrom be recognized under the Tax Act, unless the Offered Shares constitute “taxable Canadian property” (as defined in the Tax Act) of the Non-Resident Holder at the time of the disposition and the Non-Resident Holder is not entitled to relief under an applicable income tax treaty or convention. Generally, the Offered Shares will not constitute taxable Canadian property to a Non-Resident Holder at a particular time provided that the shares are listed at that time on a designated stock exchange for purposes of the Tax Act (which currently includes the TSX and NYSE), unless at any particular time during the 60-month period that ends at that time the following two conditions are met concurrently: (i) one or any combination of (a) the Non-Resident Holder, (b) persons with whom the Non-Resident Holder does not deal at arm’s length (for the purposes of the Tax Act), or (c) partnerships in which the Non- Resident Holder or a person described in (b) holds a membership interest directly or indirectly through one or more partnerships, owned 25% or more of the issued shares of any class or series of the capital stock of the Corporation, and (ii) more than 50% of the fair market value of the Offered Shares was derived directly or indirectly from one or any combination of: (a) real or immovable property situated in Canada, (b) “Canadian resource property”, (c) “timber resource property”, and (d) options in respect of, or interests in, or for civil law rights in, any of the foregoing property whether or not the property exists, each as defined in the Tax Act. Pursuant to Tax Proposals released by the Department of Finance (Canada) on July 23, 2026 (the “TCP Proposals”), shares that are listed on a designated stock exchange would be deemed to include an option, an interest or right in such shares, whether or not such shares exist, such that any such options, interests or rights held by a Non-Resident Holder may be included in determining whether such Non-Resident Holder exceeds the 25% threshold described in (i) above. The TCP Proposals are proposed to come into force on Royal Assent. Notwithstanding the foregoing, in certain circumstances set out in the Tax Act, the Offered Shares may be deemed to be taxable Canadian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Capital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a Non-Resident Holder disposes (or is deemed to have disposed) of an Offered Share that is taxable Canadian property to that Non-Resident Holder, and the Non-Resident Holder is not entitled to relief under an applicable income tax treaty or convention, the consequences described above under the heading “—Residents of Canada—Taxation of Capital Gains and Losses” will generally be applicable to such disposition. Such Non-Resident Holders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United States federal income tax consequences of owning our Common Shares. It applies to you only if you acquire your Common Shares in the Offering and you hold your Common Shares as capital assets for United States federal income tax purposes. This discussion addresses only United States federal income taxation and does not discuss all of the tax consequences that may be relevant to you in light of your individual circumstances, including non-United States, state or local tax consequences, estate and gift tax consequences, and tax consequences arising under the Medicare contribution tax on net investment income or the alternative minimum tax. This section does not apply to you if you are a member of a special class of holders subject to special rules,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589"/>
        <w:gridCol w:w="9437"/>
      </w:tblGrid>
      <w:tr>
        <w:trPr/>
        <w:tc>
          <w:tcPr>
            <w:tcW w:w="1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Symbol" w:hAnsi="Symbol"/>
              </w:rPr>
            </w:pPr>
            <w:r>
              <w:rPr>
                <w:rFonts w:ascii="Symbol" w:hAnsi="Symbol"/>
              </w:rPr>
              <w:t>·</w:t>
            </w:r>
          </w:p>
        </w:tc>
        <w:tc>
          <w:tcPr>
            <w:tcW w:w="94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dealer in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trader in securities that elects to use a mark-to-market method of accounting for securities holdings,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72"/>
        <w:gridCol w:w="9590"/>
      </w:tblGrid>
      <w:tr>
        <w:trPr/>
        <w:tc>
          <w:tcPr>
            <w:tcW w:w="1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rFonts w:ascii="Symbol" w:hAnsi="Symbol"/>
              </w:rPr>
            </w:pPr>
            <w:r>
              <w:rPr>
                <w:rFonts w:ascii="Symbol" w:hAnsi="Symbol"/>
              </w:rPr>
              <w:t>·</w:t>
            </w:r>
          </w:p>
        </w:tc>
        <w:tc>
          <w:tcPr>
            <w:tcW w:w="9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Symbol" w:hAnsi="Symbol"/>
              </w:rPr>
            </w:pPr>
            <w:r>
              <w:rPr>
                <w:rFonts w:ascii="Symbol" w:hAnsi="Symbol"/>
              </w:rPr>
              <w:t>·</w:t>
            </w:r>
          </w:p>
        </w:tc>
        <w:tc>
          <w:tcPr>
            <w:tcW w:w="95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life insurance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person that actually or constructively owns 10% or more of the combined voting power of our voting stock or of the total value of our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9"/>
        <w:gridCol w:w="10025"/>
      </w:tblGrid>
      <w:tr>
        <w:trPr/>
        <w:tc>
          <w:tcPr>
            <w:tcW w:w="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person that holds Common Shares as part of a straddle or a hedging or conversion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person that purchases or sells Common Shares as part of a wash sale for tax purposes,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2"/>
        <w:gridCol w:w="9995"/>
      </w:tblGrid>
      <w:tr>
        <w:trPr/>
        <w:tc>
          <w:tcPr>
            <w:tcW w:w="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U.S. holder (as defined below)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based on the Internal Revenue Code of 1986, as amended, its legislative history, existing and proposed regulations, published rulings and court decisions, all as currently in effect, as well as on the Treaty. These authorities are subject to change, possibly on a retroactive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treated as a partnership for United States federal income tax purposes holds the Common Shares, the United States federal income tax treatment of a partner in such partnership will generally depend on the status of the partner and the tax treatment of the partnership. A partner in a partnership holding the Common Shares should consult its tax advisor with regard to the United States federal income tax treatment of an investment in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 “U.S. holder” if you are a beneficial owner of Common Shares and you are,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318"/>
        <w:gridCol w:w="9791"/>
      </w:tblGrid>
      <w:tr>
        <w:trPr/>
        <w:tc>
          <w:tcPr>
            <w:tcW w:w="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Symbol" w:hAnsi="Symbol"/>
              </w:rPr>
            </w:pPr>
            <w:r>
              <w:rPr>
                <w:rFonts w:ascii="Symbol" w:hAnsi="Symbol"/>
              </w:rPr>
              <w:t>·</w:t>
            </w:r>
          </w:p>
        </w:tc>
        <w:tc>
          <w:tcPr>
            <w:tcW w:w="97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31"/>
        <w:gridCol w:w="9513"/>
      </w:tblGrid>
      <w:tr>
        <w:trPr/>
        <w:tc>
          <w:tcPr>
            <w:tcW w:w="1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rFonts w:ascii="Symbol" w:hAnsi="Symbol"/>
              </w:rPr>
            </w:pPr>
            <w:r>
              <w:rPr>
                <w:rFonts w:ascii="Symbol" w:hAnsi="Symbol"/>
              </w:rPr>
              <w:t>·</w:t>
            </w:r>
          </w:p>
        </w:tc>
        <w:tc>
          <w:tcPr>
            <w:tcW w:w="9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domestic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estate whose income is subject to United States federal income tax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trust if (1) a United States court can exercise primary supervision over the trust’s administration and one or more United States persons are authorized to control all substantial decisions of the trust or (2) it has a valid election in effect under applicable regulations to be treated as a domestic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 “non-U.S. holder” if you are a beneficial owner of Common Shares and you are neither a United States person nor a partnership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not exhaustive of all possible United States federal income tax considerations applicable to an investment in the Common Shares. This summary is of a general nature only and is not intended to be, nor should it be construed to be, legal or income tax advice to any particular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CONSULT YOUR OWN TAX ADVISOR REGARDING THE UNITED STATES FEDERAL, STATE, LOCAL AND OTHER TAX CONSEQUENCES OF OWNING AND DISPOSING OF COMMON SHARES IN YOUR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your investment in the Common Shares will depend in part on whether or not we are classified as a passive foreign investment company, or “PFIC,” for United States federal income tax purposes. Except as discussed below under “—PFIC Classification,” this discussion assumes that we are not, have not been and will not be classified as a PFIC for United States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United States federal income tax laws, the gross amount of any distribution we pay on the Common Shares out of our current or accumulated earnings and profits (as determined for United States federal income tax purposes), other than certain pro-rata distributions of our shares, will be treated as a dividend to the extent of such current or accumulated earnings and profits for United States federal income tax purposes that is subject to United States federal income taxation. If you are a noncorporate U.S. holder, dividends that constitute qualified dividend income will be taxable to you at the preferential rates applicable to long-term capital gains provided that you hold the Common Shares for more than 60 days during the 121-day period beginning 60 days before the ex-dividend date and meet other holding period requirements. Dividends we pay with respect to the Common Shares generally will be qualified dividend income provided that, in the year that you receive the dividend, either (i) the Common Shares are readily tradable on an established securities market in the United States or (ii) we qualify for the benefits of the Treaty. Our Common Shares are listed on the NYSE and, assuming they continue to be so listed, we expect that dividends will be qualified dividend income on that basis. Moreover, we believe that we are currently eligible for the benefits of the Treaty and, assuming we continue to be eligible for such benefits, we expect that dividends on the Common Shares will be qualified dividend income on that basis as well.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include any Canadian tax withheld from the dividend payment (as discussed under “—Material Canadian Income Tax Considerations—Non-Residents of Canada—Taxation of Dividends”)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Canadian dollars payments made, determined at the spot Canadian dollar/U.S. dollar rate on the date the dividend is distributed, regardless of whether the payment is in fact converted into U.S. dollars. Generally, any gain or loss resulting from currency exchange fluctuations during the period from the date the dividend is distributed to the date you convert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Common Shares and thereafter as capital gain. However, we intend to treat all distributions as paid out of our current and accumulated earnings and profits (as determined for United States federal income tax purposes). Accordingly, you should expect to generally treat all distributions received from us as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any Canadian tax withheld as discussed under “—Material Canadian Income Tax Considerations—Non-Residents of Canada—Taxation of Dividends” and paid over to Canada will be creditable against your United States federal income tax liability or deductible from your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income from sources outside the United States and will generally be “passive” income for purposes of computing the foreign tax credit allowable to you. However, if (a) 50% or more of our stock is owned, by vote or value, by United States persons and (b) at least 10% of our earnings and profits are attributable to sources within the United States, then for foreign tax credit purposes, the United States source ratio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 Special rules apply in determining the foreign tax credit limitation with respect to dividends that are subject to the preferential tax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or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sell or otherwise dispose of your Common Shares, you will recognize capital gain or loss for United States federal income tax purposes equal to the difference between the U.S. dollar value of the amount that you realize and your tax basis, determined in U.S. dollars, in your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should not be currently classified as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a PFIC in a taxable year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least 75% of our gross income for the taxable year is passive income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least 50% of the value, determined on the basis of a quarterly average, of our assets in such taxable year is attributable to assets that produce or are held for the production of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equity interests of another corporation or a partnership, the foreign corporation is treated for purposes of the PFIC tests as owning its proportionate share of the assets of the other corporation or the partnership, and as receiving directly its proportionate share of the other corporation’s or the partnership’s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treated as a PFIC, you will generally be subject to special rules with respect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gain you realize on the sale or other disposition of your Common Shares,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excess distribution that we make to you (generally, any distributions to you during a single taxable year, other than the taxable year in which your holding period in the Common Shares begins, that are greater than 125% of the average annual distributions received by you in respect of the Common Shares during the three preceding taxable years or, if shorter, your holding period for the Common Shares that preceded the taxable year in which you receive the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gain or excess distribution will be allocated ratably over your holding period for the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allocated to the taxable year in which you realized the gain or excess distribution or to prior years before the first year in which we were a PFIC with respect to you will be taxed as ordinary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allocated to each other prior taxable year will be taxed at the highest tax rate in effect for that year,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interest charge generally applicable to underpayments of tax will be imposed in respect of the tax attributable to each such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apply for calculating the amount of the foreign tax credit with respect to excess distributions by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you make certain elections, your Common Shares will generally be treated as stock in a PFIC if we were a PFIC at any time during your holding period in your Common Shares, even if we are not currently a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any election you make with regard to the Common Shares,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(subject to the discussion above regarding the excess distribution rules) it will be subject to tax at rates applicable to ordinary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Common Shares during any taxable year that we are a PFIC with respect to you, you may be required to file Internal Revenue Service (“IRS”) Form 8621.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you in respect of Common Shares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or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be subject to United States federal income tax on gain recognized on the sale or other disposition of your Common Shares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are an individual, you are present in the United States for 183 or more days in the taxable year of the sale and certain other conditions exist.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corporate non-U.S. holder, “effectively connected” gains that you recognize may, under certain circumstances, be subject to an additional “branch profits tax” at a 30% rate or at a lower rate if you are eligible for the benefits of an income tax treaty that provides for a lower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noncorporate U.S. holder, information reporting requirements, on IRS Form 1099, generally will apply to dividend payments or other taxable distributions made to you within the United States, and the payment of proceeds to you from the sale of Common Shares effected at a United States office of a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backup withholding (currently at a rate of 24%)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Common Shares effected at a United States office of a broker, as long as either (i) you have furnished a valid IRS Form W-8 or other documentation upon which the payor or broker may rely to treat the payments as made to a non-United States person, or (ii) you otherwise establish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proceeds from the sale of Common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generally may obtain a refund of any amounts withheld under the backup withholding rules that exceed your income tax liability by filing a refund claim with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PS13"/>
      <w:bookmarkEnd w:id="14"/>
      <w:r>
        <w:rPr>
          <w:rFonts w:ascii="Times New Roman;Times;Serif" w:hAnsi="Times New Roman;Times;Serif"/>
          <w:b/>
          <w:i w:val="false"/>
          <w:caps/>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Dominion Securities Inc. and CIBC World Markets Inc. are acting as representatives of the underwriters named below. We have entered into an underwriting agreement with the underwriters named below with respect to the Offered Shares. Subject to the terms and conditions set forth in the underwriting agreement, we have agreed to sell to the underwriters, and each of the underwriters has agreed, severally and not jointly, to purchase from us the respective number of Offered Shares set forth opposite its name below:</w:t>
      </w:r>
    </w:p>
    <w:p>
      <w:pPr>
        <w:pStyle w:val="TextBody"/>
        <w:bidi w:val="0"/>
        <w:spacing w:before="0" w:after="0"/>
        <w:ind w:left="0" w:right="0" w:hanging="0"/>
        <w:jc w:val="left"/>
        <w:rPr>
          <w:caps w:val="false"/>
          <w:smallCaps w:val="false"/>
        </w:rPr>
      </w:pPr>
      <w:r>
        <w:rPr>
          <w:caps w:val="false"/>
          <w:smallCaps w:val="false"/>
        </w:rPr>
        <w:t> </w:t>
      </w:r>
    </w:p>
    <w:tbl>
      <w:tblPr>
        <w:tblW w:w="4105" w:type="dxa"/>
        <w:jc w:val="center"/>
        <w:tblInd w:w="0" w:type="dxa"/>
        <w:tblLayout w:type="fixed"/>
        <w:tblCellMar>
          <w:top w:w="0" w:type="dxa"/>
          <w:left w:w="0" w:type="dxa"/>
          <w:bottom w:w="28" w:type="dxa"/>
          <w:right w:w="0" w:type="dxa"/>
        </w:tblCellMar>
      </w:tblPr>
      <w:tblGrid>
        <w:gridCol w:w="2495"/>
        <w:gridCol w:w="60"/>
        <w:gridCol w:w="60"/>
        <w:gridCol w:w="1415"/>
        <w:gridCol w:w="75"/>
      </w:tblGrid>
      <w:tr>
        <w:trPr/>
        <w:tc>
          <w:tcPr>
            <w:tcW w:w="24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tcBorders/>
            <w:shd w:fill="FFFFFF" w:val="clear"/>
            <w:tcMar>
              <w:bottom w:w="0"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Common Shares</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Dominion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Nesbitt Burns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Bank Financial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415"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2" w:space="0" w:color="000000"/>
            </w:tcBorders>
            <w:shd w:fill="CCEEFF" w:val="clear"/>
            <w:vAlign w:val="center"/>
          </w:tcPr>
          <w:p>
            <w:pPr>
              <w:pStyle w:val="TableContents"/>
              <w:bidi w:val="0"/>
              <w:spacing w:before="0" w:after="283"/>
              <w:jc w:val="left"/>
              <w:rPr/>
            </w:pPr>
            <w:r>
              <w:rPr/>
              <w:t> </w:t>
            </w:r>
          </w:p>
        </w:tc>
        <w:tc>
          <w:tcPr>
            <w:tcW w:w="1415" w:type="dxa"/>
            <w:tcBorders>
              <w:bottom w:val="double" w:sz="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the underwriters have agreed, severally and not jointly, to purchase all of the Offered Shares sold under the underwriting agreement if any of these Offered Shares are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have advised us that they propose to offer the Offered Shares directly to the public at the public offering price on the cover of this prospectus supplement and to selected dealers at such offering price less a selling concession not in excess of $       per share. After the Offering, the underwriters may change the offering price and other selling terms. The offering of the Offered Shares by the underwriters is subject to receipt and acceptance and subject to the underwriters’ right to reject any order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reimburse the underwriters for certain expenses incurred by them in connection with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liabilities under the U.S. Securities Act, or to contribute to payments the underwriters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Offered Shares, subject to prior sale, when, as and if issued to and accepted by them, subject to approval of legal matters by their counsel, including the validity of the Common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the Offering, not including the underwriting discount, are estimated at $       and are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an option to the underwriters, exercisable from the date of this prospectus supplement to the date 30 days after the closing of the Offering, to purchase up to             additional Common Shares from us at a price of $          per share. If the underwriters exercise this option, each will be obligated, subject to conditions contained in the underwriting agreement, to purchase a number of additional Common Shares proportionate to that underwriter’s initial amount reflected in the above table, solely to cover over-allotments.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not to, from the date of this prospectus supplement until 90 days after the closing of the Offering, without first obtaining the written consent of RBC Dominion Securities Inc. and CIBC World Markets Inc., such consent not to be unreasonably withheld, on behalf of the underwriters, and subject to certain limited exceptions: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create, allot, authorize, offer, issue,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enter into any swap or other agreement that transfers, in whole or in part, any of the economic consequences of ownership of Common Shares, whether any such transaction or transaction described in the clause above is to be settled by delivery of Common Shares or such other securities or interests, in cash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publicly announce an intention to effect any such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issuance of the Offered Shares or the issuance of Common Shares or securities convertible into or exercisable or exchangeable for Common Shares pursuant to a dividend reinvestment and share purchase plan of the Corporation, any employee benefit, incentive or stock option or purchase plans or similar plans of the Corporation, or any directors’ compensation plan of the Corporation or to satisfy existing instruments issued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NYSE and TSX Listings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to list the Offered Shares on the NYSE and the TSX under the symbol “ENB”.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distribution of the shares is completed, SEC rules may limit underwriters and selling group members from bidding for and purchasing our Common Shares. However, the underwriters may engage in transactions that stabilize the price of the Common Shares, such as bids or purchases to peg, fix or maintain that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purchase and sell our Common Shares in the open market. These transactions may include short sales, purchases on the open market to cover positions created by short sales and stabilizing transactions. Short sales involve the sale by the underwriters of a greater number of Common Shares than they are required to purchase in the Offering. “Covered” short sales are sales made in an amount not greater than the underwriters’ option to purchase additional Common Shares described above. The underwriters may close out any covered short position by either exercising their option to purchase additional Common Shares or purchasing Common Shares in the open market. In determining the source of Common Shares to close out the covered short position, the underwriters will consider, among other things, the price of Common Shares available for purchase in the open market as compared to the price at which they may purchase Common Shares through the option granted to them. “Naked” short sales are sales in excess of such option. The underwriters must close out any naked short position by purchasing Common Shares in the open market. A naked short position is more likely to be created if the underwriters are concerned that there may be downward pressure on the price of our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 underwriters may conduct these transactions on the NYSE, in the over-the-counter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neither we nor the underwriters make any representation that the underwriters will engage in these transactions or that these transactions, once commenced,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or securities dealers may distribute prospectuses by electronic means, such as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have indicated an interest in purchasing approximately $1.82 million of the Offered Shares at the public offering price. However, because indications of interest are not binding agreements or commitments to purchase, the underwriters could determine to sell more, fewer or no Offered Shares to those persons, or those persons could determine to purchase more, fewer or no Offered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the European Economic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Member State”), no offer of Offered Shares may be made to the public in that Relevant Member State prior to the publication of a prospectus in relation to the Offered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Offered Shares may be offered to the public in that Relevant State at any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rPr>
            </w:pPr>
            <w:r>
              <w:rPr>
                <w:rFonts w:ascii="Symbol" w:hAnsi="Symbol"/>
              </w:rPr>
              <w:t>·</w:t>
            </w:r>
          </w:p>
        </w:tc>
        <w:tc>
          <w:tcPr>
            <w:tcW w:w="99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any qualified investor as defined under Article 2 of the Prospectus Regulation;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fewer than 150 natural or legal persons (other than qualified investors as defined under Article 2 of the Prospectus Regulation), subject to obtaining the prior consent of the underwriters for any such offer;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any other circumstances falling within Article 1(4) of the Prospectus Regulation,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Offered Shares shall require the Corporation or the underwriters to publish a prospectus pursuant to Article 3 of the Prospectus Regulation, supplement a prospectus pursuant to Article 23 of the Prospectus Regulation or publish an Annex IX document pursuant to Article 1(4) of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Offered Shares in any Relevant State means the communication in any form and by any means of sufficient information on the terms of the offer and any Offered Shares to be offered so as to enable an investor to decide to purchase or subscribe for any Offered Shares, and the expression “Prospectus Regulation” means Regulation (EU) 2017/1129.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Offered Shares have been offered or will be offered pursuant to the Offering to the public in the United Kingdom except that the Offered Shares may be offered to the public in the United Kingdom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 (i) the offer is conditional on the admission of the Offered Shares to trading on the London Stock Exchange plc’s main market (in reliance on the exception in paragraph 6(a) of Schedule 1 of the POATR) or (ii) the Offered Shares being offered are at the time of the offer already admitted to trading on London Stock Exchange plc’s main market (in reliance on the exception in paragraph 6(b) of Schedule 1 of the POATR);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any qualified investor as defined in paragraph 15 of Schedule 1 of the POATR;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fewer than 150 persons (other than qualified investors as defined in paragraph 15 of Schedule 1 of the POATR), subject to obtaining the prior consent of the underwriters for any such offer;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any other circumstances falling within Part 1 of Schedule 1 of the POATR.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Offered Shares in the United Kingdom means the communication to any person which presents sufficient information on: (a) the Offered Shares to be offered; and (b) the terms on which they are to be offered, to enable an investor to decide to buy or subscribe for the Offered Shares and the expression “POATR” means the Public Offers and Admissions to Trading Regulations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Kingdom, this document is being distributed only to, and is directed only at, and any offer subsequently made may only be directed at persons who are “qualified investors” (as defined in the paragraph 15 of Schedule 1 of the POATR)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Underwriter severally and not jointly or jointly and severally, represents, warrants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only communicated or caused to be communicated and will only communicate or cause to be communicated an invitation or inducement to engage in investment activity (within the meaning of Section 21 of the Financial Services and Markets Act 2000 (the “FSMA”)) in connection with the issue or sale of the Offered Shares in circumstances in which Section 21(1) of the FSMA does not apply to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has complied and will comply with all applicable provisions of the FSMA with respect to anything done by it in relation to the Offered Shares in, from or otherwise involving,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Shares may not be publicly offered, directly or indirectly, in Switzerland within the meaning of the Swiss Financial Services Act, or FinSA, and no application has or will be made to admit the ordinary shares to trading on any trading venue (exchange or multilateral trading facility) in Switzerland. Neither this prospectus supplement, the accompanying prospectus nor any other offering or marketing material relating to the ordinary shares constitute a prospectus pursuant to the FinSA, and neither this prospectus supplement, the accompanying prospectus nor any other offering or marketing material relating to the ordinary shares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the Dubai International Financial Centre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Offered Shares to which this prospectus supplement relates may be illiquid and/or subject to restrictions on their resale. Prospective purchasers of the Offered Shares offered should conduct their own due diligence on the Offered Shares. If you do not understand the contents of this prospectus supplement you should consult an authorized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Offered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Offered Shares without disclosure to investors under Chapter 6D of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Offered Shares must observe such Australian on-sale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for their needs, objectives and circumstances, and, if necessary, seek expert advice on those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Offered Shares are subscribed or purchased under Section 275 of the SFA by a relevant person which is: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Offered Shares pursuant to an offer made under Section 275 of the SFA except: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283"/>
              <w:jc w:val="left"/>
              <w:rPr/>
            </w:pPr>
            <w:r>
              <w:rPr/>
              <w:t>to an institutional investor or to a relevant person defined in Section 275(2) of the SFA, or to any person arising from an offer referred to in Section 275(1A) or Section 276(4)(i)(B) of the SFA;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08"/>
        <w:gridCol w:w="9631"/>
      </w:tblGrid>
      <w:tr>
        <w:trPr/>
        <w:tc>
          <w:tcPr>
            <w:tcW w:w="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(ii)</w:t>
            </w:r>
          </w:p>
        </w:tc>
        <w:tc>
          <w:tcPr>
            <w:tcW w:w="9631" w:type="dxa"/>
            <w:tcBorders/>
            <w:vAlign w:val="center"/>
          </w:tcPr>
          <w:p>
            <w:pPr>
              <w:pStyle w:val="TableContents"/>
              <w:bidi w:val="0"/>
              <w:spacing w:before="0" w:after="283"/>
              <w:jc w:val="left"/>
              <w:rPr/>
            </w:pPr>
            <w:r>
              <w:rPr/>
              <w:t>where no consideration is or will be given for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832"/>
        <w:gridCol w:w="9283"/>
      </w:tblGrid>
      <w:tr>
        <w:trPr/>
        <w:tc>
          <w:tcPr>
            <w:tcW w:w="9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pPr>
            <w:r>
              <w:rPr/>
              <w:t>(iii)</w:t>
            </w:r>
          </w:p>
        </w:tc>
        <w:tc>
          <w:tcPr>
            <w:tcW w:w="9283" w:type="dxa"/>
            <w:tcBorders/>
            <w:vAlign w:val="center"/>
          </w:tcPr>
          <w:p>
            <w:pPr>
              <w:pStyle w:val="TableContents"/>
              <w:bidi w:val="0"/>
              <w:spacing w:before="0" w:after="283"/>
              <w:jc w:val="left"/>
              <w:rPr/>
            </w:pPr>
            <w:r>
              <w:rPr/>
              <w:t>where the transfer is by operation of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770"/>
        <w:gridCol w:w="9352"/>
      </w:tblGrid>
      <w:tr>
        <w:trPr/>
        <w:tc>
          <w:tcPr>
            <w:tcW w:w="8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(iv)</w:t>
            </w:r>
          </w:p>
        </w:tc>
        <w:tc>
          <w:tcPr>
            <w:tcW w:w="9352" w:type="dxa"/>
            <w:tcBorders/>
            <w:vAlign w:val="center"/>
          </w:tcPr>
          <w:p>
            <w:pPr>
              <w:pStyle w:val="TableContents"/>
              <w:bidi w:val="0"/>
              <w:spacing w:before="0" w:after="283"/>
              <w:jc w:val="left"/>
              <w:rPr/>
            </w:pPr>
            <w:r>
              <w:rPr/>
              <w:t>as specified in Section 276(7) of the SFA;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(v)</w:t>
            </w:r>
          </w:p>
        </w:tc>
        <w:tc>
          <w:tcPr>
            <w:tcW w:w="9899" w:type="dxa"/>
            <w:tcBorders/>
            <w:vAlign w:val="center"/>
          </w:tcPr>
          <w:p>
            <w:pPr>
              <w:pStyle w:val="TableContents"/>
              <w:bidi w:val="0"/>
              <w:spacing w:before="0" w:after="283"/>
              <w:jc w:val="left"/>
              <w:rPr/>
            </w:pPr>
            <w:r>
              <w:rPr/>
              <w:t>as specified in Regulation 32 of the Securities and Futures (Offers of Investments) (Shares and Debentures) Regulations 2005 of Singapore.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Singapore Securities and Futures Act Product Classification: Solely for the purposes of our obligations pursuant to sections </w:t>
      </w:r>
      <w:r>
        <w:rPr>
          <w:rFonts w:ascii="Times New Roman;Times;Serif" w:hAnsi="Times New Roman;Times;Serif"/>
          <w:b w:val="false"/>
          <w:i w:val="false"/>
          <w:caps w:val="false"/>
          <w:smallCaps w:val="false"/>
          <w:sz w:val="20"/>
        </w:rPr>
        <w:t>309B</w:t>
      </w:r>
      <w:r>
        <w:rPr>
          <w:rFonts w:ascii="Times New Roman;Times;Serif" w:hAnsi="Times New Roman;Times;Serif"/>
          <w:b w:val="false"/>
          <w:i w:val="false"/>
          <w:caps w:val="false"/>
          <w:smallCaps w:val="false"/>
          <w:color w:val="231F20"/>
          <w:sz w:val="20"/>
        </w:rPr>
        <w:t>(1) (a) and 309B(1)(c) of the SFA, we have determined, and hereby notify all relevant persons (as defined in Section 309A of the SFA), that the Offered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to Prospective Investors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Common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PS14"/>
      <w:bookmarkEnd w:id="15"/>
      <w:r>
        <w:rPr>
          <w:rFonts w:ascii="Times New Roman;Times;Serif" w:hAnsi="Times New Roman;Times;Serif"/>
          <w:b/>
          <w:i w:val="false"/>
          <w:caps/>
          <w:sz w:val="20"/>
        </w:rPr>
        <w:t>Validity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Offered Shares will be passed upon for us by McCarthy Tétrault LLP, Calgary, Alberta, Canada. Certain legal matters relating to United States law in connection with the Offering will be passed upon for us by Sullivan &amp; Cromwell LLP, New York, New York, and for the underwriters by Baker Botts L.L.P., Houston, Texas, and certain legal matters relating to Canadian law in connection with the Offering will be passed upon for the underwriters by Osler, Hoskin &amp; Harcourt LLP, Calgary, Alberta.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PS15"/>
      <w:bookmarkEnd w:id="16"/>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consolidated financial statements and management’s assessment of the effectiveness of internal control over financial reporting (which is included in Management’s Annual Report on Internal Control Over Financial Reporting) incorporated in this prospectus supplement by reference to the </w:t>
      </w:r>
      <w:hyperlink r:id="rId20">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b w:val="false"/>
          <w:i w:val="false"/>
          <w:caps w:val="false"/>
          <w:smallCaps w:val="false"/>
          <w:sz w:val="20"/>
        </w:rPr>
        <w:t xml:space="preserve">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rPr>
      </w:pPr>
      <w:r>
        <w:rPr>
          <w:b/>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ENBRIDGE INC. </w:t>
      </w:r>
    </w:p>
    <w:p>
      <w:pPr>
        <w:pStyle w:val="TextBody"/>
        <w:bidi w:val="0"/>
        <w:spacing w:before="0" w:after="0"/>
        <w:ind w:left="0" w:right="0" w:hanging="0"/>
        <w:jc w:val="center"/>
        <w:rPr>
          <w:caps/>
        </w:rPr>
      </w:pPr>
      <w:r>
        <w:rPr>
          <w:caps/>
        </w:rPr>
        <w:drawing>
          <wp:inline distT="0" distB="0" distL="0" distR="0">
            <wp:extent cx="1466850"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466850" cy="333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DEBT SECURITIES</w:t>
        <w:br/>
        <w:t>GUARANTEES OF DEBT SECURITIES</w:t>
        <w:br/>
        <w:t>COMMON SHARES</w:t>
        <w:b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our debt securities (which may be guaranteed by our wholly owned subsidiaries, Spectra Energy Partners, LP (“</w:t>
      </w:r>
      <w:r>
        <w:rPr>
          <w:rFonts w:ascii="Times New Roman;Times;Serif" w:hAnsi="Times New Roman;Times;Serif"/>
          <w:b/>
          <w:i w:val="false"/>
          <w:caps w:val="false"/>
          <w:smallCaps w:val="false"/>
          <w:sz w:val="20"/>
        </w:rPr>
        <w:t>SEP</w:t>
      </w:r>
      <w:r>
        <w:rPr>
          <w:rFonts w:ascii="Times New Roman;Times;Serif" w:hAnsi="Times New Roman;Times;Serif"/>
          <w:b w:val="false"/>
          <w:i w:val="false"/>
          <w:caps w:val="false"/>
          <w:smallCaps w:val="false"/>
          <w:sz w:val="20"/>
        </w:rPr>
        <w:t>”) and Enbridge Energy Partners, L.P. (“</w:t>
      </w:r>
      <w:r>
        <w:rPr>
          <w:rFonts w:ascii="Times New Roman;Times;Serif" w:hAnsi="Times New Roman;Times;Serif"/>
          <w:b/>
          <w:i w:val="false"/>
          <w:caps w:val="false"/>
          <w:smallCaps w:val="false"/>
          <w:sz w:val="20"/>
        </w:rPr>
        <w:t>EEP</w:t>
      </w:r>
      <w:r>
        <w:rPr>
          <w:rFonts w:ascii="Times New Roman;Times;Serif" w:hAnsi="Times New Roman;Times;Serif"/>
          <w:b w:val="false"/>
          <w:i w:val="false"/>
          <w:caps w:val="false"/>
          <w:smallCaps w:val="false"/>
          <w:sz w:val="20"/>
        </w:rPr>
        <w:t>”)), common shares and cumulative redeemable preference shares (the “</w:t>
      </w:r>
      <w:r>
        <w:rPr>
          <w:rFonts w:ascii="Times New Roman;Times;Serif" w:hAnsi="Times New Roman;Times;Serif"/>
          <w:b/>
          <w:i w:val="false"/>
          <w:caps w:val="false"/>
          <w:smallCaps w:val="false"/>
          <w:sz w:val="20"/>
        </w:rPr>
        <w:t>preference shares</w:t>
      </w:r>
      <w:r>
        <w:rPr>
          <w:rFonts w:ascii="Times New Roman;Times;Serif" w:hAnsi="Times New Roman;Times;Serif"/>
          <w:b w:val="false"/>
          <w:i w:val="false"/>
          <w:caps w:val="false"/>
          <w:smallCaps w:val="false"/>
          <w:sz w:val="20"/>
        </w:rPr>
        <w:t>” and, together with our debt securities, the subsidiary guarantees of our debt securities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and our common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We may offer the Securities separately or together, in separate series or classes and in amounts, at prices and on terms described in one or more supplements to this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variable terms of any offering of Securities will be set forth in one or more supplements to this Prospectus (each, a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including, where applicable: (i) in the case of common shares or preference shares, the number of shares offered and the offering price; and (ii) in the case of debt securities, the designation, any limit on the aggregate principal amount, the currency or currency unit, the maturity, the offering price, whether payment on the debt securities will be senior or subordinated to our other liabilities and obligations, whether the debt securities will bear interest, the interest rate or method of determining the interest rate, any terms of redemption, any conversion or exchange rights, whether the debt securities will be guaranteed and any other specific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Corporation’s common shares are listed on the New York Stock Exchange (the “</w:t>
      </w:r>
      <w:r>
        <w:rPr>
          <w:rFonts w:ascii="Times New Roman;Times;Serif" w:hAnsi="Times New Roman;Times;Serif"/>
          <w:b/>
          <w:i w:val="false"/>
          <w:caps w:val="false"/>
          <w:smallCaps w:val="false"/>
          <w:sz w:val="20"/>
        </w:rPr>
        <w:t>NYSE</w:t>
      </w:r>
      <w:r>
        <w:rPr>
          <w:rFonts w:ascii="Times New Roman;Times;Serif" w:hAnsi="Times New Roman;Times;Serif"/>
          <w:b w:val="false"/>
          <w:i w:val="false"/>
          <w:caps w:val="false"/>
          <w:smallCaps w:val="false"/>
          <w:sz w:val="20"/>
        </w:rPr>
        <w:t>”) and the Toronto Stock Exchange (the “</w:t>
      </w:r>
      <w:r>
        <w:rPr>
          <w:rFonts w:ascii="Times New Roman;Times;Serif" w:hAnsi="Times New Roman;Times;Serif"/>
          <w:b/>
          <w:i w:val="false"/>
          <w:caps w:val="false"/>
          <w:smallCaps w:val="false"/>
          <w:sz w:val="20"/>
        </w:rPr>
        <w:t>TSX</w:t>
      </w:r>
      <w:r>
        <w:rPr>
          <w:rFonts w:ascii="Times New Roman;Times;Serif" w:hAnsi="Times New Roman;Times;Serif"/>
          <w:b w:val="false"/>
          <w:i w:val="false"/>
          <w:caps w:val="false"/>
          <w:smallCaps w:val="false"/>
          <w:sz w:val="20"/>
        </w:rPr>
        <w:t>”) under the symbol “ENB”. Certain series of the Corporation’s preference shares are listed on the TSX. On July 31, 2025, the last reported sales price of our common shares on the NYSE was US$45.29 per share and the last reported sales price of our common shares on the TSX was Cdn$62.75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directly, on a continuous or delayed basis, through dealers or agents designated from time to time, to or through underwriters or through a combination of these methods.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We may also describe the plan of distribution for any particular offering of the Securities in any applicable Prospectus Supplement. If any agents, underwriters or dealers are involved in the sale of any securities in respect of which this Prospectus is being delivered, we will disclose their names and the nature of our arrangements as well as the net proceeds we expect to receive from any such sale,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accompanying Prospectus Supplement carefully before you invest in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enforcement by investors of civil liabilities under United States federal securities laws may be affected adversely by the fact that the Corporation is incorporated under the laws of Canada, that at certain points in time, most of its officers and directors may be residents of Canada, that some of the experts named in this Prospectus are residents of Canada, and that all or a substantial portion of the assets of the Corporation and said persons are located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i w:val="false"/>
          <w:caps w:val="false"/>
          <w:smallCaps w:val="false"/>
          <w:sz w:val="20"/>
        </w:rPr>
        <w:t>Investing in these Securities involves certain risks. To read about certain factors you should consider before buying any of the Securities, see “</w:t>
      </w:r>
      <w:r>
        <w:rPr>
          <w:rFonts w:ascii="Times New Roman;Times;Serif" w:hAnsi="Times New Roman;Times;Serif"/>
          <w:b/>
          <w:i/>
          <w:caps w:val="false"/>
          <w:smallCaps w:val="false"/>
          <w:sz w:val="20"/>
          <w:u w:val="single"/>
        </w:rPr>
        <w:t>Risk Factors</w:t>
      </w:r>
      <w:r>
        <w:rPr>
          <w:rFonts w:ascii="Times New Roman;Times;Serif" w:hAnsi="Times New Roman;Times;Serif"/>
          <w:b/>
          <w:i w:val="false"/>
          <w:caps w:val="false"/>
          <w:smallCaps w:val="false"/>
          <w:sz w:val="20"/>
        </w:rPr>
        <w:t xml:space="preserve">” on page 4 of this Prospectus and beginning on page 48 of </w:t>
      </w:r>
      <w:hyperlink r:id="rId22">
        <w:r>
          <w:rPr>
            <w:rStyle w:val="InternetLink"/>
            <w:rFonts w:ascii="Times New Roman;Times;Serif" w:hAnsi="Times New Roman;Times;Serif"/>
            <w:b/>
            <w:i w:val="false"/>
            <w:caps w:val="false"/>
            <w:smallCaps w:val="false"/>
            <w:sz w:val="20"/>
          </w:rPr>
          <w:t>our annual report on Form 10-K for the year ended December 31, 2024</w:t>
        </w:r>
      </w:hyperlink>
      <w:r>
        <w:rPr>
          <w:rFonts w:ascii="Times New Roman;Times;Serif" w:hAnsi="Times New Roman;Times;Serif"/>
          <w:b/>
          <w:i w:val="false"/>
          <w:caps w:val="false"/>
          <w:smallCaps w:val="false"/>
          <w:sz w:val="20"/>
        </w:rPr>
        <w:t>, which is incorporated by reference herein, as well as any risk factors included in, or incorporated by reference into, an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is dated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755"/>
        <w:gridCol w:w="245"/>
      </w:tblGrid>
      <w:tr>
        <w:trPr/>
        <w:tc>
          <w:tcPr>
            <w:tcW w:w="3755"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right"/>
              <w:rPr/>
            </w:pPr>
            <w:hyperlink w:anchor="sa_001">
              <w:r>
                <w:rPr>
                  <w:rStyle w:val="InternetLink"/>
                  <w:rFonts w:ascii="Times New Roman;Times;Serif" w:hAnsi="Times New Roman;Times;Serif"/>
                  <w:sz w:val="20"/>
                </w:rPr>
                <w:t>1</w:t>
              </w:r>
            </w:hyperlink>
          </w:p>
        </w:tc>
      </w:tr>
      <w:tr>
        <w:trPr/>
        <w:tc>
          <w:tcPr>
            <w:tcW w:w="3755"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sz w:val="20"/>
                </w:rPr>
                <w:t>Note Regarding Forward-Looking Statements</w:t>
              </w:r>
            </w:hyperlink>
          </w:p>
        </w:tc>
        <w:tc>
          <w:tcPr>
            <w:tcW w:w="245" w:type="dxa"/>
            <w:tcBorders/>
            <w:shd w:fill="FFFFFF" w:val="clear"/>
            <w:vAlign w:val="center"/>
          </w:tcPr>
          <w:p>
            <w:pPr>
              <w:pStyle w:val="TableContents"/>
              <w:bidi w:val="0"/>
              <w:spacing w:before="0" w:after="283"/>
              <w:jc w:val="right"/>
              <w:rPr/>
            </w:pPr>
            <w:hyperlink w:anchor="sa_002">
              <w:r>
                <w:rPr>
                  <w:rStyle w:val="InternetLink"/>
                  <w:rFonts w:ascii="Times New Roman;Times;Serif" w:hAnsi="Times New Roman;Times;Serif"/>
                  <w:sz w:val="20"/>
                </w:rPr>
                <w:t>2</w:t>
              </w:r>
            </w:hyperlink>
          </w:p>
        </w:tc>
      </w:tr>
      <w:tr>
        <w:trPr/>
        <w:tc>
          <w:tcPr>
            <w:tcW w:w="3755"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sa_003">
              <w:r>
                <w:rPr>
                  <w:rStyle w:val="InternetLink"/>
                  <w:rFonts w:ascii="Times New Roman;Times;Serif" w:hAnsi="Times New Roman;Times;Serif"/>
                  <w:sz w:val="20"/>
                </w:rPr>
                <w:t>3</w:t>
              </w:r>
            </w:hyperlink>
          </w:p>
        </w:tc>
      </w:tr>
      <w:tr>
        <w:trPr/>
        <w:tc>
          <w:tcPr>
            <w:tcW w:w="3755"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sz w:val="20"/>
                </w:rPr>
                <w:t>Incorporation by Reference</w:t>
              </w:r>
            </w:hyperlink>
          </w:p>
        </w:tc>
        <w:tc>
          <w:tcPr>
            <w:tcW w:w="245" w:type="dxa"/>
            <w:tcBorders/>
            <w:shd w:fill="FFFFFF" w:val="clear"/>
            <w:vAlign w:val="center"/>
          </w:tcPr>
          <w:p>
            <w:pPr>
              <w:pStyle w:val="TableContents"/>
              <w:bidi w:val="0"/>
              <w:spacing w:before="0" w:after="283"/>
              <w:jc w:val="right"/>
              <w:rPr/>
            </w:pPr>
            <w:hyperlink w:anchor="sa_004">
              <w:r>
                <w:rPr>
                  <w:rStyle w:val="InternetLink"/>
                  <w:rFonts w:ascii="Times New Roman;Times;Serif" w:hAnsi="Times New Roman;Times;Serif"/>
                  <w:sz w:val="20"/>
                </w:rPr>
                <w:t>3</w:t>
              </w:r>
            </w:hyperlink>
          </w:p>
        </w:tc>
      </w:tr>
      <w:tr>
        <w:trPr/>
        <w:tc>
          <w:tcPr>
            <w:tcW w:w="3755"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sz w:val="20"/>
                </w:rPr>
                <w:t>The Corporation</w:t>
              </w:r>
            </w:hyperlink>
          </w:p>
        </w:tc>
        <w:tc>
          <w:tcPr>
            <w:tcW w:w="245" w:type="dxa"/>
            <w:tcBorders/>
            <w:shd w:fill="CCEEFF" w:val="clear"/>
            <w:vAlign w:val="center"/>
          </w:tcPr>
          <w:p>
            <w:pPr>
              <w:pStyle w:val="TableContents"/>
              <w:bidi w:val="0"/>
              <w:spacing w:before="0" w:after="283"/>
              <w:jc w:val="right"/>
              <w:rPr/>
            </w:pPr>
            <w:hyperlink w:anchor="sa_005">
              <w:r>
                <w:rPr>
                  <w:rStyle w:val="InternetLink"/>
                  <w:rFonts w:ascii="Times New Roman;Times;Serif" w:hAnsi="Times New Roman;Times;Serif"/>
                  <w:sz w:val="20"/>
                </w:rPr>
                <w:t>4</w:t>
              </w:r>
            </w:hyperlink>
          </w:p>
        </w:tc>
      </w:tr>
      <w:tr>
        <w:trPr/>
        <w:tc>
          <w:tcPr>
            <w:tcW w:w="3755"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sz w:val="20"/>
                </w:rPr>
                <w:t>Risk Factors</w:t>
              </w:r>
            </w:hyperlink>
          </w:p>
        </w:tc>
        <w:tc>
          <w:tcPr>
            <w:tcW w:w="245" w:type="dxa"/>
            <w:tcBorders/>
            <w:shd w:fill="FFFFFF" w:val="clear"/>
            <w:vAlign w:val="center"/>
          </w:tcPr>
          <w:p>
            <w:pPr>
              <w:pStyle w:val="TableContents"/>
              <w:bidi w:val="0"/>
              <w:spacing w:before="0" w:after="283"/>
              <w:jc w:val="right"/>
              <w:rPr/>
            </w:pPr>
            <w:hyperlink w:anchor="sa_006">
              <w:r>
                <w:rPr>
                  <w:rStyle w:val="InternetLink"/>
                  <w:rFonts w:ascii="Times New Roman;Times;Serif" w:hAnsi="Times New Roman;Times;Serif"/>
                  <w:sz w:val="20"/>
                </w:rPr>
                <w:t>4</w:t>
              </w:r>
            </w:hyperlink>
          </w:p>
        </w:tc>
      </w:tr>
      <w:tr>
        <w:trPr/>
        <w:tc>
          <w:tcPr>
            <w:tcW w:w="3755"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sa_007">
              <w:r>
                <w:rPr>
                  <w:rStyle w:val="InternetLink"/>
                  <w:rFonts w:ascii="Times New Roman;Times;Serif" w:hAnsi="Times New Roman;Times;Serif"/>
                  <w:sz w:val="20"/>
                </w:rPr>
                <w:t>5</w:t>
              </w:r>
            </w:hyperlink>
          </w:p>
        </w:tc>
      </w:tr>
      <w:tr>
        <w:trPr/>
        <w:tc>
          <w:tcPr>
            <w:tcW w:w="3755" w:type="dxa"/>
            <w:tcBorders/>
            <w:shd w:fill="FFFFFF" w:val="clear"/>
            <w:vAlign w:val="center"/>
          </w:tcPr>
          <w:p>
            <w:pPr>
              <w:pStyle w:val="TableContents"/>
              <w:bidi w:val="0"/>
              <w:spacing w:before="0" w:after="283"/>
              <w:jc w:val="left"/>
              <w:rPr/>
            </w:pPr>
            <w:hyperlink w:anchor="sa_008">
              <w:r>
                <w:rPr>
                  <w:rStyle w:val="InternetLink"/>
                  <w:rFonts w:ascii="Times New Roman;Times;Serif" w:hAnsi="Times New Roman;Times;Serif"/>
                  <w:sz w:val="20"/>
                </w:rPr>
                <w:t>Description of Debt Securities and Guarantees</w:t>
              </w:r>
            </w:hyperlink>
          </w:p>
        </w:tc>
        <w:tc>
          <w:tcPr>
            <w:tcW w:w="245" w:type="dxa"/>
            <w:tcBorders/>
            <w:shd w:fill="FFFFFF" w:val="clear"/>
            <w:vAlign w:val="center"/>
          </w:tcPr>
          <w:p>
            <w:pPr>
              <w:pStyle w:val="TableContents"/>
              <w:bidi w:val="0"/>
              <w:spacing w:before="0" w:after="283"/>
              <w:jc w:val="right"/>
              <w:rPr/>
            </w:pPr>
            <w:hyperlink w:anchor="sa_008">
              <w:r>
                <w:rPr>
                  <w:rStyle w:val="InternetLink"/>
                  <w:rFonts w:ascii="Times New Roman;Times;Serif" w:hAnsi="Times New Roman;Times;Serif"/>
                  <w:sz w:val="20"/>
                </w:rPr>
                <w:t>5</w:t>
              </w:r>
            </w:hyperlink>
          </w:p>
        </w:tc>
      </w:tr>
      <w:tr>
        <w:trPr/>
        <w:tc>
          <w:tcPr>
            <w:tcW w:w="3755" w:type="dxa"/>
            <w:tcBorders/>
            <w:shd w:fill="CCEEFF" w:val="clear"/>
            <w:vAlign w:val="center"/>
          </w:tcPr>
          <w:p>
            <w:pPr>
              <w:pStyle w:val="TableContents"/>
              <w:bidi w:val="0"/>
              <w:spacing w:before="0" w:after="283"/>
              <w:jc w:val="left"/>
              <w:rPr/>
            </w:pPr>
            <w:hyperlink w:anchor="sa_009">
              <w:r>
                <w:rPr>
                  <w:rStyle w:val="InternetLink"/>
                  <w:rFonts w:ascii="Times New Roman;Times;Serif" w:hAnsi="Times New Roman;Times;Serif"/>
                  <w:sz w:val="20"/>
                </w:rPr>
                <w:t>Description of Share Capital</w:t>
              </w:r>
            </w:hyperlink>
          </w:p>
        </w:tc>
        <w:tc>
          <w:tcPr>
            <w:tcW w:w="245" w:type="dxa"/>
            <w:tcBorders/>
            <w:shd w:fill="CCEEFF" w:val="clear"/>
            <w:vAlign w:val="center"/>
          </w:tcPr>
          <w:p>
            <w:pPr>
              <w:pStyle w:val="TableContents"/>
              <w:bidi w:val="0"/>
              <w:spacing w:before="0" w:after="283"/>
              <w:jc w:val="right"/>
              <w:rPr/>
            </w:pPr>
            <w:hyperlink w:anchor="sa_009">
              <w:r>
                <w:rPr>
                  <w:rStyle w:val="InternetLink"/>
                  <w:rFonts w:ascii="Times New Roman;Times;Serif" w:hAnsi="Times New Roman;Times;Serif"/>
                  <w:sz w:val="20"/>
                </w:rPr>
                <w:t>8</w:t>
              </w:r>
            </w:hyperlink>
          </w:p>
        </w:tc>
      </w:tr>
      <w:tr>
        <w:trPr/>
        <w:tc>
          <w:tcPr>
            <w:tcW w:w="3755" w:type="dxa"/>
            <w:tcBorders/>
            <w:shd w:fill="FFFFFF" w:val="clear"/>
            <w:vAlign w:val="center"/>
          </w:tcPr>
          <w:p>
            <w:pPr>
              <w:pStyle w:val="TableContents"/>
              <w:bidi w:val="0"/>
              <w:spacing w:before="0" w:after="283"/>
              <w:jc w:val="left"/>
              <w:rPr/>
            </w:pPr>
            <w:hyperlink w:anchor="sa_010">
              <w:r>
                <w:rPr>
                  <w:rStyle w:val="InternetLink"/>
                  <w:rFonts w:ascii="Times New Roman;Times;Serif" w:hAnsi="Times New Roman;Times;Serif"/>
                  <w:sz w:val="20"/>
                </w:rPr>
                <w:t>Material Income Tax Considerations</w:t>
              </w:r>
            </w:hyperlink>
          </w:p>
        </w:tc>
        <w:tc>
          <w:tcPr>
            <w:tcW w:w="245" w:type="dxa"/>
            <w:tcBorders/>
            <w:shd w:fill="FFFFFF" w:val="clear"/>
            <w:vAlign w:val="center"/>
          </w:tcPr>
          <w:p>
            <w:pPr>
              <w:pStyle w:val="TableContents"/>
              <w:bidi w:val="0"/>
              <w:spacing w:before="0" w:after="283"/>
              <w:jc w:val="right"/>
              <w:rPr/>
            </w:pPr>
            <w:hyperlink w:anchor="sa_010">
              <w:r>
                <w:rPr>
                  <w:rStyle w:val="InternetLink"/>
                  <w:rFonts w:ascii="Times New Roman;Times;Serif" w:hAnsi="Times New Roman;Times;Serif"/>
                  <w:sz w:val="20"/>
                </w:rPr>
                <w:t>10</w:t>
              </w:r>
            </w:hyperlink>
          </w:p>
        </w:tc>
      </w:tr>
      <w:tr>
        <w:trPr/>
        <w:tc>
          <w:tcPr>
            <w:tcW w:w="3755" w:type="dxa"/>
            <w:tcBorders/>
            <w:shd w:fill="CCEEFF" w:val="clear"/>
            <w:vAlign w:val="center"/>
          </w:tcPr>
          <w:p>
            <w:pPr>
              <w:pStyle w:val="TableContents"/>
              <w:bidi w:val="0"/>
              <w:spacing w:before="0" w:after="283"/>
              <w:jc w:val="left"/>
              <w:rPr/>
            </w:pPr>
            <w:hyperlink w:anchor="sa_011">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right"/>
              <w:rPr/>
            </w:pPr>
            <w:hyperlink w:anchor="sa_011">
              <w:r>
                <w:rPr>
                  <w:rStyle w:val="InternetLink"/>
                  <w:rFonts w:ascii="Times New Roman;Times;Serif" w:hAnsi="Times New Roman;Times;Serif"/>
                  <w:sz w:val="20"/>
                </w:rPr>
                <w:t>10</w:t>
              </w:r>
            </w:hyperlink>
          </w:p>
        </w:tc>
      </w:tr>
      <w:tr>
        <w:trPr/>
        <w:tc>
          <w:tcPr>
            <w:tcW w:w="3755" w:type="dxa"/>
            <w:tcBorders/>
            <w:shd w:fill="FFFFFF" w:val="clear"/>
            <w:vAlign w:val="center"/>
          </w:tcPr>
          <w:p>
            <w:pPr>
              <w:pStyle w:val="TableContents"/>
              <w:bidi w:val="0"/>
              <w:spacing w:before="0" w:after="283"/>
              <w:jc w:val="left"/>
              <w:rPr/>
            </w:pPr>
            <w:hyperlink w:anchor="sa_012">
              <w:r>
                <w:rPr>
                  <w:rStyle w:val="InternetLink"/>
                  <w:rFonts w:ascii="Times New Roman;Times;Serif" w:hAnsi="Times New Roman;Times;Serif"/>
                  <w:sz w:val="20"/>
                </w:rPr>
                <w:t>Enforcement of Civil Liabilities</w:t>
              </w:r>
            </w:hyperlink>
          </w:p>
        </w:tc>
        <w:tc>
          <w:tcPr>
            <w:tcW w:w="245" w:type="dxa"/>
            <w:tcBorders/>
            <w:shd w:fill="FFFFFF" w:val="clear"/>
            <w:vAlign w:val="center"/>
          </w:tcPr>
          <w:p>
            <w:pPr>
              <w:pStyle w:val="TableContents"/>
              <w:bidi w:val="0"/>
              <w:spacing w:before="0" w:after="283"/>
              <w:jc w:val="right"/>
              <w:rPr/>
            </w:pPr>
            <w:hyperlink w:anchor="sa_012">
              <w:r>
                <w:rPr>
                  <w:rStyle w:val="InternetLink"/>
                  <w:rFonts w:ascii="Times New Roman;Times;Serif" w:hAnsi="Times New Roman;Times;Serif"/>
                  <w:sz w:val="20"/>
                </w:rPr>
                <w:t>10</w:t>
              </w:r>
            </w:hyperlink>
          </w:p>
        </w:tc>
      </w:tr>
      <w:tr>
        <w:trPr/>
        <w:tc>
          <w:tcPr>
            <w:tcW w:w="3755" w:type="dxa"/>
            <w:tcBorders/>
            <w:shd w:fill="CCEEFF" w:val="clear"/>
            <w:vAlign w:val="center"/>
          </w:tcPr>
          <w:p>
            <w:pPr>
              <w:pStyle w:val="TableContents"/>
              <w:bidi w:val="0"/>
              <w:spacing w:before="0" w:after="283"/>
              <w:jc w:val="left"/>
              <w:rPr/>
            </w:pPr>
            <w:hyperlink w:anchor="sa_013">
              <w:r>
                <w:rPr>
                  <w:rStyle w:val="InternetLink"/>
                  <w:rFonts w:ascii="Times New Roman;Times;Serif" w:hAnsi="Times New Roman;Times;Serif"/>
                  <w:sz w:val="20"/>
                </w:rPr>
                <w:t>Validity of Securities</w:t>
              </w:r>
            </w:hyperlink>
          </w:p>
        </w:tc>
        <w:tc>
          <w:tcPr>
            <w:tcW w:w="245" w:type="dxa"/>
            <w:tcBorders/>
            <w:shd w:fill="CCEEFF" w:val="clear"/>
            <w:vAlign w:val="center"/>
          </w:tcPr>
          <w:p>
            <w:pPr>
              <w:pStyle w:val="TableContents"/>
              <w:bidi w:val="0"/>
              <w:spacing w:before="0" w:after="283"/>
              <w:jc w:val="right"/>
              <w:rPr/>
            </w:pPr>
            <w:hyperlink w:anchor="sa_013">
              <w:r>
                <w:rPr>
                  <w:rStyle w:val="InternetLink"/>
                  <w:rFonts w:ascii="Times New Roman;Times;Serif" w:hAnsi="Times New Roman;Times;Serif"/>
                  <w:sz w:val="20"/>
                </w:rPr>
                <w:t>11</w:t>
              </w:r>
            </w:hyperlink>
          </w:p>
        </w:tc>
      </w:tr>
      <w:tr>
        <w:trPr/>
        <w:tc>
          <w:tcPr>
            <w:tcW w:w="3755" w:type="dxa"/>
            <w:tcBorders/>
            <w:shd w:fill="FFFFFF" w:val="clear"/>
            <w:vAlign w:val="center"/>
          </w:tcPr>
          <w:p>
            <w:pPr>
              <w:pStyle w:val="TableContents"/>
              <w:bidi w:val="0"/>
              <w:spacing w:before="0" w:after="283"/>
              <w:jc w:val="both"/>
              <w:rPr/>
            </w:pPr>
            <w:hyperlink w:anchor="sa_014">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right"/>
              <w:rPr/>
            </w:pPr>
            <w:hyperlink w:anchor="sa_014">
              <w:r>
                <w:rPr>
                  <w:rStyle w:val="InternetLink"/>
                  <w:rFonts w:ascii="Times New Roman;Times;Serif" w:hAnsi="Times New Roman;Times;Serif"/>
                  <w:sz w:val="20"/>
                </w:rPr>
                <w:t>11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Corporation has not authorized anyone to provide any information or to make any representations other than as contained or incorporated by reference in this Prospectus or in any accompanying supplement to this Prospectus or any free writing prospectus. The Corporation takes no responsibility for, and can provide no assurance as to the reliability of, any other information that others may give you. This Prospectus, any accompanying supplement to this Prospectus and any free writing prospectus do not constitute an offer to sell or the solicitation of an offer to buy any securities other than the registered securities to which they relate, nor do this Prospectus, any accompanying supplement to this Prospectus, and any free writing prospectus constitute an offer to sell or the solicitation of an offer to buy securities in any jurisdiction to any person to whom it is unlawful to make such offer or solicitation in such jurisdiction. The information contained or incorporated by reference in this Prospectus, any supplement to this Prospectus and any free writing prospectus is accurate as of the dates of the applicable documents. Our business, financial condition, results of operations and prospects may have changed since the applicable dates. When this Prospectus, a supplement or free writing prospectus are delivered and any Securities are sold pursuant to this Prospectus or a supplement or free writing prospectus, we are not implying that the information is current as of the date of the delivery or sale. You should not consider any information in this Prospectus or in the documents incorporated by reference herein to be investment, legal or tax advice. We encourage you to consult your own counsel, accountant and other advisors for legal, tax, business, financial and related advice regarding an investment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a_001"/>
      <w:bookmarkEnd w:id="17"/>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utilizing a “shelf” registration process. Under this shelf process, we may sell the Securities described in this Prospectus in one or more offerings. This Prospectus provides you with a general description of the Securities that may be offered pursuant to this Prospectus. Each time we offer Securities pursuant to this Prospectus, we will provide you with one or more Prospectus Supplements that will provide specific information about the Securities being offered and describe the specific terms of that offering. A Prospectus Supplement may also include a discussion of any additional risk factors or other special considerations that apply to the Securities being offered and add to, update or change the information contained in this Prospectus. If there is any inconsistency between the information in this Prospectus and any Prospectus Supplement, you should rely on the Prospectus Supplement. You should read both this Prospectus and any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before purchasing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and in any Prospectus Supplement, unless otherwise specified or the context otherwise requires, all dollar amounts are expressed in Canadian dollars or Cdn$.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lawful currency of the United States. Unless otherwise indicated, all financial information included in this Prospectus or included in any Prospectus Supplement is determined using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Except as set forth under “</w:t>
      </w:r>
      <w:r>
        <w:rPr>
          <w:rFonts w:ascii="Times New Roman;Times;Serif" w:hAnsi="Times New Roman;Times;Serif"/>
          <w:b w:val="false"/>
          <w:i/>
          <w:caps w:val="false"/>
          <w:smallCaps w:val="false"/>
          <w:sz w:val="20"/>
        </w:rPr>
        <w:t>Description of Debt Securities and Guarantees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and unless the context otherwise requires, all references in this Prospectus and any Prospectus Supplement to “</w:t>
      </w:r>
      <w:r>
        <w:rPr>
          <w:rFonts w:ascii="Times New Roman;Times;Serif" w:hAnsi="Times New Roman;Times;Serif"/>
          <w:b/>
          <w:i w:val="false"/>
          <w:caps w:val="false"/>
          <w:smallCaps w:val="false"/>
          <w:sz w:val="20"/>
        </w:rPr>
        <w:t>Enbridge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mean Enbridge Inc. and its subsidiaries, partnership interests and joint venture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a_002"/>
      <w:bookmarkEnd w:id="18"/>
      <w:r>
        <w:rPr>
          <w:rFonts w:ascii="Times New Roman;Times;Serif" w:hAnsi="Times New Roman;Times;Serif"/>
          <w:b/>
          <w:i w:val="false"/>
          <w:caps/>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by reference into this Prospectus, contain both historical and forward-looking statements within the meaning of Section 27A of the U.S. Securities Act of 1933, as amended (the “</w:t>
      </w: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and Section 21E of the U.S. Securities Exchange Act of 1934, as amended (the “</w:t>
      </w:r>
      <w:r>
        <w:rPr>
          <w:rFonts w:ascii="Times New Roman;Times;Serif" w:hAnsi="Times New Roman;Times;Serif"/>
          <w:b/>
          <w:i w:val="false"/>
          <w:caps w:val="false"/>
          <w:smallCaps w:val="false"/>
          <w:sz w:val="20"/>
        </w:rPr>
        <w:t>U.S. Exchange Act</w:t>
      </w:r>
      <w:r>
        <w:rPr>
          <w:rFonts w:ascii="Times New Roman;Times;Serif" w:hAnsi="Times New Roman;Times;Serif"/>
          <w:b w:val="false"/>
          <w:i w:val="false"/>
          <w:caps w:val="false"/>
          <w:smallCaps w:val="false"/>
          <w:sz w:val="20"/>
        </w:rPr>
        <w:t>”), and forward-looking information within the meaning of Canadian securities laws (collectively, “</w:t>
      </w: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This information has been included to provide information about the Corporation and its subsidiaries and affiliates, including management’s assessment of the Corporation’s and its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Prospectus include, but are not limited to, statements with respect to the following: our corporate vision and strategy, including strategic priorities and enablers; expected supply of, demand for, exports of and prices of crude oil, natural gas, natural gas liquids (“</w:t>
      </w:r>
      <w:r>
        <w:rPr>
          <w:rFonts w:ascii="Times New Roman;Times;Serif" w:hAnsi="Times New Roman;Times;Serif"/>
          <w:b/>
          <w:i w:val="false"/>
          <w:caps w:val="false"/>
          <w:smallCaps w:val="false"/>
          <w:sz w:val="20"/>
        </w:rPr>
        <w:t>NGL</w:t>
      </w:r>
      <w:r>
        <w:rPr>
          <w:rFonts w:ascii="Times New Roman;Times;Serif" w:hAnsi="Times New Roman;Times;Serif"/>
          <w:b w:val="false"/>
          <w:i w:val="false"/>
          <w:caps w:val="false"/>
          <w:smallCaps w:val="false"/>
          <w:sz w:val="20"/>
        </w:rPr>
        <w:t>”), liquefied natural gas (“</w:t>
      </w:r>
      <w:r>
        <w:rPr>
          <w:rFonts w:ascii="Times New Roman;Times;Serif" w:hAnsi="Times New Roman;Times;Serif"/>
          <w:b/>
          <w:i w:val="false"/>
          <w:caps w:val="false"/>
          <w:smallCaps w:val="false"/>
          <w:sz w:val="20"/>
        </w:rPr>
        <w:t>LNG</w:t>
      </w:r>
      <w:r>
        <w:rPr>
          <w:rFonts w:ascii="Times New Roman;Times;Serif" w:hAnsi="Times New Roman;Times;Serif"/>
          <w:b w:val="false"/>
          <w:i w:val="false"/>
          <w:caps w:val="false"/>
          <w:smallCaps w:val="false"/>
          <w:sz w:val="20"/>
        </w:rPr>
        <w:t>”), renewable natural gas (“</w:t>
      </w:r>
      <w:r>
        <w:rPr>
          <w:rFonts w:ascii="Times New Roman;Times;Serif" w:hAnsi="Times New Roman;Times;Serif"/>
          <w:b/>
          <w:i w:val="false"/>
          <w:caps w:val="false"/>
          <w:smallCaps w:val="false"/>
          <w:sz w:val="20"/>
        </w:rPr>
        <w:t>RNG</w:t>
      </w:r>
      <w:r>
        <w:rPr>
          <w:rFonts w:ascii="Times New Roman;Times;Serif" w:hAnsi="Times New Roman;Times;Serif"/>
          <w:b w:val="false"/>
          <w:i w:val="false"/>
          <w:caps w:val="false"/>
          <w:smallCaps w:val="false"/>
          <w:sz w:val="20"/>
        </w:rPr>
        <w:t>”) and renewable energy; energy transition and lower-carbon energy, and our approach thereto; environmental, social, governance and sustainability goals, practices and performance; industry and market conditions; anticipated utilization of our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U.S. gas utilities (“</w:t>
      </w:r>
      <w:r>
        <w:rPr>
          <w:rFonts w:ascii="Times New Roman;Times;Serif" w:hAnsi="Times New Roman;Times;Serif"/>
          <w:b/>
          <w:i w:val="false"/>
          <w:caps w:val="false"/>
          <w:smallCaps w:val="false"/>
          <w:sz w:val="20"/>
        </w:rPr>
        <w:t>U.S. Gas Utilities</w:t>
      </w:r>
      <w:r>
        <w:rPr>
          <w:rFonts w:ascii="Times New Roman;Times;Serif" w:hAnsi="Times New Roman;Times;Serif"/>
          <w:b w:val="false"/>
          <w:i w:val="false"/>
          <w:caps w:val="false"/>
          <w:smallCaps w:val="false"/>
          <w:sz w:val="20"/>
        </w:rPr>
        <w:t>”) from Dominion Energy, Inc. (the “</w:t>
      </w:r>
      <w:r>
        <w:rPr>
          <w:rFonts w:ascii="Times New Roman;Times;Serif" w:hAnsi="Times New Roman;Times;Serif"/>
          <w:b/>
          <w:i w:val="false"/>
          <w:caps w:val="false"/>
          <w:smallCaps w:val="false"/>
          <w:sz w:val="20"/>
        </w:rPr>
        <w:t>Acquisitions</w:t>
      </w:r>
      <w:r>
        <w:rPr>
          <w:rFonts w:ascii="Times New Roman;Times;Serif" w:hAnsi="Times New Roman;Times;Serif"/>
          <w:b w:val="false"/>
          <w:i w:val="false"/>
          <w:caps w:val="false"/>
          <w:smallCaps w:val="false"/>
          <w:sz w:val="20"/>
        </w:rPr>
        <w:t>”); expected future actions of regulators and courts, government trade policies, as well as possible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our commercially secured growth program; expected future growth, development and expansion opportunities; expected optimization and efficiency opportunities; expectations about our joint venture partners’ ability to complete and finance projects under construction; our ability to successfully integrate the U.S. Gas Utilities; expected closing of acquisitions, dispositions and other transactions and the timing thereof; toll and rate cases discussions and proceedings and anticipated outcomes, timelines and impacts therefrom, including those relating to the Gas Transmission and Gas Distribution and Storage businesses; operational, industry, regulatory, climate change and other risks associated with our businesses; and our assessment of the potential impact of the various risk factors identified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assumptions about the following: the expected supply of, demand for, export of and prices of crude oil, natural gas, NGL, LNG, RNG and renewable energy; anticipated utilization of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including the Acquisitions; governmental legislation; litigation; estimated future dividends and impact of our dividend policy on our future cash flows; our credit ratings; capital project funding; hedging program; expected earnings before interest, income taxes and depreciation and amortization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conditions; and the supply of, demand for and prices of commodities and other alternative energy, including but not limited to, those risks and uncertainties discussed in this Prospectus and in our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Enbridge assumes no obligation to publicly update or revise any forward-looking statement made in this Prospectus or otherwise, whether as a result of new information, future events or otherwise. All forward-looking statements, whether written or oral, attributable to us or persons acting on our behalf, are expressly qualified in their entirety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a_003"/>
      <w:bookmarkEnd w:id="19"/>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is subject to the information requirements of the U.S. Exchange Act, and in accordance therewith files reports and other information with the SEC. Such reports and other information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Prospective investors may read and download the documents the Corporation has filed with the SEC’s Electronic Data Gathering and Retrieval system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has filed with the SEC under the U.S. Securities Act, a registration statement on Form S-3 relating to the Securities and of which this Prospectus forms a part. This Prospectus does not contain all of the information set forth in such registration statement, certain items of which are contained in the exhibits to the registration statement as permitted or required by the rules and regulations of the SEC. Statements made in this Prospectus as to the contents of any contract, agreement or other document referred to are not necessarily complete, and in each instance, for a complete description of the applicable contract, agreement or other document, reference is made to the exhibits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sa_004"/>
      <w:bookmarkEnd w:id="20"/>
      <w:r>
        <w:rPr>
          <w:rFonts w:ascii="Times New Roman;Times;Serif" w:hAnsi="Times New Roman;Times;Serif"/>
          <w:b/>
          <w:i w:val="false"/>
          <w:caps/>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into this Prospectus the information in documents we file with the SEC. This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The modifying or superseding statement need not state that it has modified or superseded a prior statement or include any other information set forth in the document that it modifies or supersedes. In other words, in the case of a conflict or inconsistency between information contained in this Prospectus and information incorporated by reference into this Prospectus, you should rely on the information contained in the document that was filed later.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and all documents which we subsequently file with the SEC (other than, in each case, documents or information deemed to have been furnished and not filed in accordance with the SEC rules) pursuant to Section 13(a), 13(c), 14, or 15(d) of the U.S. Exchange Act until the termination of the offering of the Securities under this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hyperlink r:id="rId23">
              <w:r>
                <w:rPr>
                  <w:rStyle w:val="InternetLink"/>
                </w:rPr>
                <w:t>Annual Report on Form 10-K for the fiscal year ended December 31, 2024, filed on February 14, 2025</w:t>
              </w:r>
            </w:hyperlink>
            <w:r>
              <w:rPr/>
              <w:t xml:space="preserve"> (the “</w:t>
            </w:r>
            <w:r>
              <w:rPr>
                <w:b/>
              </w:rPr>
              <w:t>Annual Report</w:t>
            </w:r>
            <w:r>
              <w:rPr/>
              <w:t xml:space="preserve">”), as amended by </w:t>
            </w:r>
            <w:hyperlink r:id="rId24">
              <w:r>
                <w:rPr>
                  <w:rStyle w:val="InternetLink"/>
                </w:rPr>
                <w:t>Amendment No. 1 on Form 10-K/A, filed on March 11, 2025</w:t>
              </w:r>
            </w:hyperlink>
            <w:r>
              <w:rPr/>
              <w:t xml:space="preserve"> to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hyperlink r:id="rId25">
              <w:r>
                <w:rPr>
                  <w:rStyle w:val="InternetLink"/>
                </w:rPr>
                <w:t>Quarterly Report on Form 10-Q for the quarterly period ended March 31, 2025, filed on May 9, 2025</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left"/>
              <w:rPr/>
            </w:pPr>
            <w:hyperlink r:id="rId26">
              <w:r>
                <w:rPr>
                  <w:rStyle w:val="InternetLink"/>
                </w:rPr>
                <w:t>Quarterly Report on Form 10-Q for the quarterly period ended June 30, 2025, filed on August 1,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Current Reports on Form 8-K (or Form 8-K/A) filed on </w:t>
            </w:r>
            <w:hyperlink r:id="rId27">
              <w:r>
                <w:rPr>
                  <w:rStyle w:val="InternetLink"/>
                </w:rPr>
                <w:t>February 14, 2025</w:t>
              </w:r>
            </w:hyperlink>
            <w:r>
              <w:rPr/>
              <w:t xml:space="preserve"> (</w:t>
            </w:r>
            <w:r>
              <w:rPr>
                <w:u w:val="single"/>
              </w:rPr>
              <w:t>accession number 0001193125-25-027290</w:t>
            </w:r>
            <w:r>
              <w:rPr/>
              <w:t xml:space="preserve">), </w:t>
            </w:r>
            <w:hyperlink r:id="rId28">
              <w:r>
                <w:rPr>
                  <w:rStyle w:val="InternetLink"/>
                </w:rPr>
                <w:t>March 11, 2025</w:t>
              </w:r>
            </w:hyperlink>
            <w:r>
              <w:rPr/>
              <w:t xml:space="preserve">, </w:t>
            </w:r>
            <w:hyperlink r:id="rId29">
              <w:r>
                <w:rPr>
                  <w:rStyle w:val="InternetLink"/>
                </w:rPr>
                <w:t>March 21, 2025</w:t>
              </w:r>
            </w:hyperlink>
            <w:r>
              <w:rPr/>
              <w:t xml:space="preserve">, </w:t>
            </w:r>
            <w:hyperlink r:id="rId30">
              <w:r>
                <w:rPr>
                  <w:rStyle w:val="InternetLink"/>
                </w:rPr>
                <w:t>May 8, 2025</w:t>
              </w:r>
            </w:hyperlink>
            <w:r>
              <w:rPr/>
              <w:t xml:space="preserve"> and </w:t>
            </w:r>
            <w:hyperlink r:id="rId31">
              <w:r>
                <w:rPr>
                  <w:rStyle w:val="InternetLink"/>
                </w:rPr>
                <w:t>June 20, 2025</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description of Enbridge share capital contained in the registration statement on </w:t>
            </w:r>
            <w:hyperlink r:id="rId32">
              <w:r>
                <w:rPr>
                  <w:rStyle w:val="InternetLink"/>
                </w:rPr>
                <w:t>Form F-10, filed on September 15, 2017</w:t>
              </w:r>
            </w:hyperlink>
            <w:r>
              <w:rPr/>
              <w:t>, and any other amendments or reports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upon written or oral request, without charge from the Corporate Secretary of Enbridge, Suite 200, 425—1st Street S.W., Calgary, Alberta, T2P 3L8 (telephone 1-403-231-3900). Documents that we file with or furnish to the SEC are also available on the website maintained by the SEC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This site contains reports, proxy and information statements and other information regarding issuers that file electronically with the SEC. The information on that website is not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sa_005"/>
      <w:bookmarkEnd w:id="21"/>
      <w:r>
        <w:rPr>
          <w:rFonts w:ascii="Times New Roman;Times;Serif" w:hAnsi="Times New Roman;Times;Serif"/>
          <w:b/>
          <w:i w:val="false"/>
          <w:caps/>
          <w:sz w:val="20"/>
        </w:rPr>
        <w:t>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is a leading North American energy infrastructure company. The Corporation’s core businesses include Liquids Pipelines, which consists of pipelines and terminals in Canada and the United States that transport and export various grades of crude oil and other liquid hydrocarbons; Gas Transmission, which consists of investments in natural gas pipelines and gathering and processing facilities in Canada and the United States; Gas Distribution and Storage, which consists of natural gas utility operations that serve residential, commercial and industrial customers in Canada and the United States; and Renewable Power Generation, which consists primarily of investments in wind and solar assets, as well as geothermal and power transmission assets, in North America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Enbridge is a public company, with common shares that trade on the Toronto Stock Exchange and the New York Stock Exchange under the symbol “ENB”. The Corporation was incorporated under the </w:t>
      </w:r>
      <w:r>
        <w:rPr>
          <w:rFonts w:ascii="Times New Roman;Times;Serif" w:hAnsi="Times New Roman;Times;Serif"/>
          <w:b w:val="false"/>
          <w:i/>
          <w:caps w:val="false"/>
          <w:smallCaps w:val="false"/>
          <w:sz w:val="20"/>
        </w:rPr>
        <w:t>Companies Ordinance</w:t>
      </w:r>
      <w:r>
        <w:rPr>
          <w:rFonts w:ascii="Times New Roman;Times;Serif" w:hAnsi="Times New Roman;Times;Serif"/>
          <w:b w:val="false"/>
          <w:i w:val="false"/>
          <w:caps w:val="false"/>
          <w:smallCaps w:val="false"/>
          <w:sz w:val="20"/>
        </w:rPr>
        <w:t> of the Northwest Territories on April 13, 1970 and was continued under the </w:t>
      </w:r>
      <w:r>
        <w:rPr>
          <w:rFonts w:ascii="Times New Roman;Times;Serif" w:hAnsi="Times New Roman;Times;Serif"/>
          <w:b w:val="false"/>
          <w:i/>
          <w:caps w:val="false"/>
          <w:smallCaps w:val="false"/>
          <w:sz w:val="20"/>
        </w:rPr>
        <w:t>Canada Business Corporations Act </w:t>
      </w:r>
      <w:r>
        <w:rPr>
          <w:rFonts w:ascii="Times New Roman;Times;Serif" w:hAnsi="Times New Roman;Times;Serif"/>
          <w:b w:val="false"/>
          <w:i w:val="false"/>
          <w:caps w:val="false"/>
          <w:smallCaps w:val="false"/>
          <w:sz w:val="20"/>
        </w:rPr>
        <w:t>on December 15, 1987. Enbridge’s principal executive offices are located at Suite 200, 425—1st Street S.W., Calgary, Alberta, Canada T2P 3L8, and its telephone number is 1-403-231-3900.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sa_006"/>
      <w:bookmarkEnd w:id="22"/>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the Securities is subject to various risks. Before deciding whether to invest in any Securities, in addition to the other information included in, or incorporated by reference into, this Prospectus, you should carefully consider the risk factors contained in Item 1A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the Annual Report, which is incorporated by reference into this Prospectus, as updated by our annual or quarterly reports for subsequent fiscal years or fiscal quarters that we file with the SEC and that are so incorporated.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sa_007"/>
      <w:bookmarkEnd w:id="23"/>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net proceeds from the sale of the Securities will be added to the general funds of the Corporation to be used for general corporate purposes, which may include reducing outstanding indebtedness and financing capital expenditures, investments and working capital requirements of the Corporation. Specific information about the use of proceeds from the sale of any Securities will be set forth in a Prospectus Supplement. The Corporation may invest funds that it does not immediately require in short-term marketable debt securities. The Corporation expects that it may, from time to time, issue securities other than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be received by the Corporation from the sale of the Securities from time to time under this Prospectus are not expected to be applied to fund any specific project. The Corporation’s overall corporate strategy and major initiatives supporting its strategy are summarized in the Annual Report,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sa_008"/>
      <w:bookmarkEnd w:id="24"/>
      <w:r>
        <w:rPr>
          <w:rFonts w:ascii="Times New Roman;Times;Serif" w:hAnsi="Times New Roman;Times;Serif"/>
          <w:b/>
          <w:i w:val="false"/>
          <w:caps/>
          <w:sz w:val="20"/>
        </w:rPr>
        <w:t>Description of Debt Securities and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the terms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Enbridge</w:t>
      </w:r>
      <w:r>
        <w:rPr>
          <w:rFonts w:ascii="Times New Roman;Times;Serif" w:hAnsi="Times New Roman;Times;Serif"/>
          <w:b w:val="false"/>
          <w:i w:val="false"/>
          <w:caps w:val="false"/>
          <w:smallCaps w:val="false"/>
          <w:sz w:val="20"/>
        </w:rPr>
        <w:t>” refer only to Enbridge Inc. and not to its subsidiaries, partnerships interests or joint venture investments. The following description sets forth certain general terms and provisions of the debt securities and guarantees. The Corporation will provide particular terms and provisions of a series of debt securities and a description of how the general terms and provisions described below may apply to that series in a Prospectus Supplement. Prospective investors should rely on information in the applicable Prospectus Supplement if it is different from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dated February 25, 2005, as amended and supplemented from time to time (the indenture as amended and supplemented,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Enbridge, SEP, a wholly owned subsidiary of Enbridge, as guarantor, EEP, a wholly owned subsidiary of Enbridge, as guarantor (each of SEP and EEP a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Deutsche Bank Trust Company Americas, as trustee. Debt securities issued under the Indenture will not be offered or sold to persons in Canada pursuant to this Prospectus. The following summary of certain provisions of the Indenture and the debt securities issued thereunder does not purport to be complete and is qualified in its entirety by reference to the actual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issue debt securities and incur additional indebtedness other than through an offering of debt securities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aggregate principal amount of debt securities which may be issued under the Indenture or otherwise. The Indenture provides that debt securities will be in registered form, may be issued from time to time in one or more series and may be denominated and payable in U.S. dollars or any other currency. Unless otherwise specified in the applicable Prospectus Supplement, debt securities may be issued in whole or in part in a global form and will be registered in the name of and be deposited with The Depository Trust Company or its nominee, Cede &amp; Co. Unless otherwise indicated in an applicable Prospectus Supplement, the debt securities will be issuable in denominations of US$1,000 and integral multiples of US$1,000, or in such other denominations as may be set out in the terms of the debt securities of any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Canadian and United States federal income tax considerations applicable to any debt securities, and special tax considerations applicable to the debt securities denominated in a currency or currency unit other than Canadian or U.S. dollars, will be described in the Prospectus Supplement relating to the offering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debt securities will be unsecured obligations and will rank equally with all of the Corporation’s other unsecured and unsubordinated indebtedness and will be guaranteed by both Guarantors. See “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below. Enbridge is a holding company that conducts substantially all of its operations and holds substantially all of its assets through its subsidiaries. As at June 30, 2025, the long-term debt (excluding the current portion, as well as guarantees and intercompany obligations between the Corporation and its subsidiaries) of Enbridge and its subsidiaries totaled approximately $96.6 billion, of which approximately $36.5 billion is subsidiary debt. The debt securities issued under this Prospectus will be structurally subordinated to all existing and future liabilities, including trade payables and other indebtedness, of Enbridge’s subsidiaries other than the Guarantors with respect to any guaranteed debt securities. The Indenture does not limit the incurrence of indebtedness and issuance of preferred stock of or by Enbridge’s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has been filed as an exhibit to the registration statement of which this Prospectus is a part and is available as described above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 Indenture will be described in a Prospectus Supplement for such debt securities. For further details, prospective investors should refer to the Indenture and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also be issued under new supplemental indentures between us and a trustee or trustees as will be described in a Prospectus Supplement for such debt securities. The Corporation may issue debt securities and incur additional indebtedness other than through the offering of debt securities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set forth additional terms relating to the debt securities being offered, including covenants, events of default, provisions for payments of additional amounts and 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also set forth the following terms relating to the debt securities being offered: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left"/>
              <w:rPr/>
            </w:pPr>
            <w:r>
              <w:rPr/>
              <w:t>the title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t>any limit upon the aggregate principal amount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left"/>
              <w:rPr/>
            </w:pPr>
            <w:r>
              <w:rPr/>
              <w:t>the party to whom any interest on a debt security of the series shall be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date or dates on which the principal of (and premium, if any, on) any debt securities of the series is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rate or rates at which the debt securities will bear interest, if any, the date or dates from which any interest will accrue, the interest payment dates on which interest will be payable and the regular record date for interest payable on any interest payment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left"/>
              <w:rPr/>
            </w:pPr>
            <w:r>
              <w:rPr/>
              <w:t>the place or places where principal and any premium and interest are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period or periods if any within which, the price or prices at which, the currency or currency units in which and the terms and conditions upon which any debt securities of the series may be redeemed, in whole or in part, at the option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obligation, if any, of the Corporation to redeem or purchase any debt securities of the series pursuant to any sinking fund or analogous provisions or at the option of the holder thereof and the terms and conditions upon which debt securities of the series may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other than denominations of $1,000 and any integral multiples of $1,000, the denominations in which the debt securities are issuable;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amount of principal of or any premium or interest on any debt securities of the series may be determined with reference to an index or pursuant to a formula, the manner in which such amounts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other than U.S. dollars, the currency, currencies or currency units in which the principal of or any premium or interest on any debt securities of the series will be payable, and any related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principal of or any premium or interest on any debt securities of the series is to be payable, at the election of the Corporation or the holders, in one or more currencies or currency units other than that or those in which the debt securities are stated to be payable, specific information relating to the currency, currencies or currency units, and the terms and conditions relating to any such election;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other than the entire principal amount, the portion of the principal amount of any debt securities of the series that is payable upon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principal amount payable at maturity of the debt securities of the series is not determinable prior to maturity, the amount that is deemed to be the principal amount prior to maturity for purposes of the debt securities and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4"/>
        <w:gridCol w:w="9992"/>
      </w:tblGrid>
      <w:tr>
        <w:trPr/>
        <w:tc>
          <w:tcPr>
            <w:tcW w:w="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left"/>
              <w:rPr/>
            </w:pPr>
            <w:r>
              <w:rPr/>
              <w:t>if applicable, that the debt securities of the series are subject to defeasance and/or covenant defeasance;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applicable, that the debt securities of the series will be issued in whole or in part in the form of one or more global securities and, if so, the depositary for the global securities, the form of any legend or legends which will be borne by such global securities and any additional terms related to the exchange, transfer and registration of securities issued in global 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addition to or change in the events of default applicable to the debt securities of the series and any change in the right of the trustee or the holders of the debt securities to accelerate the maturity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addition to or change in the covenants described in this Prospectus applicable to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the debt securities are to be subordinated to other of the Corporation’s obligations, the terms of the subordination and any related provisions;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the debt securities will be convertible into securities or other property, including the Corporation’s common stock or other securities, whether in addition to, or in lieu of, any payment of principal or other amount or otherwise, and whether at the option of the Corporation or otherwise, the terms and conditions relating to conversion of the debt securities, and any other provisions relating to the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obligation, if any, of the Corporation to pay to holders of any debt securities of the series amounts as may be necessary so that net payments on the debt security, after deduction or withholding for or on account of any present or future taxes and other governmental charges imposed by any taxing authority upon or as a result of payments on the securities, will not be less than the gross amount provided in the debt security, and the terms and conditions, if any, on which the Corporation may redeem the debt securities rather than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the Corporation will undertake to list the debt securities of the series on any securities exchange or automated interdealer quotation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left"/>
              <w:rPr/>
            </w:pPr>
            <w:r>
              <w:rPr/>
              <w:t>whether the debt securities of the series will be guaranteed by either or both Guarantors;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both"/>
              <w:rPr/>
            </w:pPr>
            <w:r>
              <w:rPr/>
              <w:t>any other terms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Indenture does not afford the holders the right to tender debt securities to Enbridge for repurchase or provide for any increase in the rate or rates of interest at which the debt securities will bear interest in the event Enbridge should become involved in a highly leveraged transaction or in the event of a change in control of Enbridge.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issued under the Indenture bearing no interest or interest at a rate below the prevailing market rate at the time of issuance, and may be offered and sold at a discount below their stated principal amount. The Canadian and United States federal income tax consequences and other special considerations applicable to any such discounted debt securities or other debt securities offered and sold at par which are treated as having been issued at a discount for Canadian and/or United States federal income tax purposes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Enbridge may, without the consent of the holders thereof, reopen a previous issue of a series of debt securities and issue additional debt securities of such series; provided, however, that in the event any additional debt securities are not fungible with the outstanding debt securities for United States federal income tax purposes, such non-fungible additional debt securities will be issued with a separate CUSIP number so that they are distinguishable from the outstanding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of the Guarantors will fully, unconditionally, irrevocably, absolutely and jointly and severally guarantee the due and punctual payment of the principal of, and premium, if any, and interest on the debt securities and all other amounts due and payable by Enbridge under the Indenture and the debt securities, when and as such principal, premium, if any, interest and other amounts shall become due and payable. The guarantee of any debt securities is intended to be a general, unsecured, senior obligation of each of the Guarantors and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in right of payment with all indebtedness of each Guarantor that is not, by its terms, expressly subordinated in right of payment to the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guarantees of either Guarantor will be unconditionally released and discharged automatically upon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direct or indirect sale, exchange or transfer, whether by way of merger, sale or transfer of equity interests or otherwise, to any person that is not an affiliate of Enbridge, of any of Enbridge’s direct or indirect limited partnership or other equity interests in such Guarantor as a result of which such Guarantor ceases to be a consolidated subsidiary of Enbridge;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merger of such Guarantor into Enbridge or the other Guarantor or the liquidation and dissolution of such Guarantor;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with respect to any series of debt securities, the repayment in full or discharge or defeasance of such debt securities (each as contemplated by the Indenture or any applicable supplemental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with respect to EEP, the repayment in full or discharge or defeasance of the debt securities of EEP outstanding as of January 22, 2019, all of which are guaranteed by the Corporation pursuant to the Seventeenth Supplemental Indenture, dated as of January 22, 2019, among EEP, the Corporation and U.S. Bank National Association, as trustee;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with respect to SEP, the repayment in full or discharge or defeasance of the debt securities of SEP outstanding as of January 22, 2019, all of which are guaranteed by the Corporation pursuant to the Eighth Supplemental Indenture, dated as of January 22, 2019, among SEP, the Corporation and Wells Fargo Bank, National Association, as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sa_009"/>
      <w:bookmarkEnd w:id="25"/>
      <w:r>
        <w:rPr>
          <w:rFonts w:ascii="Times New Roman;Times;Serif" w:hAnsi="Times New Roman;Times;Serif"/>
          <w:b/>
          <w:i w:val="false"/>
          <w:caps/>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the terms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Enbridge</w:t>
      </w:r>
      <w:r>
        <w:rPr>
          <w:rFonts w:ascii="Times New Roman;Times;Serif" w:hAnsi="Times New Roman;Times;Serif"/>
          <w:b w:val="false"/>
          <w:i w:val="false"/>
          <w:caps w:val="false"/>
          <w:smallCaps w:val="false"/>
          <w:sz w:val="20"/>
        </w:rPr>
        <w:t>” refer only to Enbridge Inc. and not to its subsidiaries, partnerships or joint venture interests. The following sets forth the terms and provisions of the existing capital of the Corporation. The following description is subject to, and qualified by reference to, the terms and provisions of the Corporation’s articles and by-laws. The Corporation is authorized to issue an unlimited number of common shares and an unlimited number of preference 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share of the Corporation entitles the holder to one vote for each common share held at all meetings of shareholders of the Corporation, except meetings at which only holders of another specified class or series of shares are entitled to vote, to receive dividends if, as and when declared by the board of directors of the Corporation, subject to prior satisfaction of preferential dividends applicable to any preference shares, and to participate ratably in any distribution of the assets of the Corporation upon a liquidation, dissolution or winding up, subject to prior rights and privileges attaching to the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and transfer agent for the common shares in Canada is Computershare Trust Company of Canada at its principal transfer offices in Calgary, Alberta; Vancouver, British Columbia; and Montréal, Québec, and the registrar and transfer agent for the common shares in the United States is Computershare Trust Company, N.A. at its principal transfer offices in Canton, Massachusetts; Jersey City, New Jersey; and Louisville, Kentucky.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has a shareholder rights plan (the “</w:t>
      </w:r>
      <w:r>
        <w:rPr>
          <w:rFonts w:ascii="Times New Roman;Times;Serif" w:hAnsi="Times New Roman;Times;Serif"/>
          <w:b/>
          <w:i w:val="false"/>
          <w:caps w:val="false"/>
          <w:smallCaps w:val="false"/>
          <w:sz w:val="20"/>
        </w:rPr>
        <w:t>Shareholder Rights Plan</w:t>
      </w:r>
      <w:r>
        <w:rPr>
          <w:rFonts w:ascii="Times New Roman;Times;Serif" w:hAnsi="Times New Roman;Times;Serif"/>
          <w:b w:val="false"/>
          <w:i w:val="false"/>
          <w:caps w:val="false"/>
          <w:smallCaps w:val="false"/>
          <w:sz w:val="20"/>
        </w:rPr>
        <w:t>”) that is designed to encourage the fair treatment of shareholders in connection with any take-over bid for the Corporation. Rights issued under the Shareholder Rights Plan become exercisable when a person, and any related parties, acquires or announces the intention to acquire 20% or more of the Corporation’s outstanding common shares without complying with certain provisions set out in the Shareholder Rights Plan or without approval of the board of directors of the Corporation. Should such an acquisition or announcement occur, each rights holder, other than the acquiring person and its related parties, will have the right to purchase common shares of the Corporation at a 50% discount to the market price at that time. For further particulars, reference should be made to the Shareholder Rights Plan, filed as Exhibit 4.15 to the Annual Report, which is herein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may be issued at any time or from time to time in one or more series. Before any shares of a series are issued, the board of directors of the Corporation shall fix the number of shares that will form such series and shall, subject to the limitations set out in the articles of the Corporation, determine the designation, rights, privileges, restrictions and conditions to be attached to the preference shares of such series, except that no series shall be granted the right to vote at a general meeting of the shareholders of the Corporation or the right to be convertible or exchangeable for common shares,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preference shares issued that are to be convertible into other securities of the Corporation, including other series of preference shares, no amounts will be payable to convert those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preference shares of each series shall rank on parity with the preference shares of every other series with respect to dividends and return of capital and shall be entitled to a preference over the common shares and over any other shares ranking junior to the preference shares with respect to priority in payment of dividends and in the distribution of assets in the event of liquidation, dissolution or winding-up of the Corporation, whether voluntary or involuntary, or any other distribution of the assets of the Corporation among its shareholders for the purpose of winding-up its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holders of the preference shares as a class shall not be entitled to receive notice of, to attend or to vote at any meeting of the shareholders of the Corporation, provided that the rights, privileges, restrictions and conditions attached to the preference shares as a class may be added to, changed or removed only with the approval of the holders of the preference shares given in such manner as may then be required by law, at a meeting of the holders of the preference shares duly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sa_010"/>
      <w:bookmarkEnd w:id="26"/>
      <w:r>
        <w:rPr>
          <w:rFonts w:ascii="Times New Roman;Times;Serif" w:hAnsi="Times New Roman;Times;Serif"/>
          <w:b/>
          <w:i w:val="false"/>
          <w:caps/>
          <w:sz w:val="20"/>
        </w:rPr>
        <w:t>Material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material Canadian federal income tax consequences to an investor of acquiring any Securities offered thereunder, if applicable, including whether the payments of dividends on common shares or preference shares or payments of principal, premium, if any, and interest on debt securities payable to a non-resident of Canada will be subject to Canadian non-resident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also describe material United States federal income tax consequences of the acquisition, ownership and disposition of any Securities offered thereunder by an initial investor who is a United States person (within the meaning of the United States Internal Revenue Code), including, to the extent applicable, any such material consequences relating to debt securities payable in a currency other than the U.S. dollar, issued at an original issue discount for United States federal income tax purposes or containing early redemption provisions or other special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sa_011"/>
      <w:bookmarkEnd w:id="27"/>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sell the Securities to or through underwriters, agents or dealers and also may sell the Securities directly to purchasers pursuant to applicable statutory exemptions or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market prices prevailing at the time of sale, or at prices related to such prevailing market prices to be negotiated with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each series of the Securities will also set forth the terms of the offering of the Securities, including to the extent applicable, the initial offering price, the proceeds to the Corporation, the underwriting concessions or commissions, and any other discounts or concessions to be allowed or re-allowed to dealers. Underwriters or agents with respect to Securities sold to or through underwriters or agents will be named in the Prospectus Supplement relating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the Corporation or from purchasers of the Securities for whom they may act as agents in the form of discounts, concessions or commissions. Any such commissions will be paid either using a portion of the funds received in connection with the sale of the Securities or out of the general funds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which may be entered into by the Corporation, underwriters, dealers and agents who participate in the distribution of the Securities may be entitled to indemnification by the Corporation against certain liabilities, including liabilities under securities legislation, or to contribution with respect to payments which such underwriters, dealers or agents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offering of Securities, the underwriters, agents or dealers may over-allot or effect transactions which stabilize or maintain the market price of the Securities offered at levels above those which might otherwise prevail in the open market. Such transactions,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sa_012"/>
      <w:bookmarkEnd w:id="28"/>
      <w:r>
        <w:rPr>
          <w:rFonts w:ascii="Times New Roman;Times;Serif" w:hAnsi="Times New Roman;Times;Serif"/>
          <w:b/>
          <w:i w:val="false"/>
          <w:caps/>
          <w:sz w:val="20"/>
        </w:rPr>
        <w:t>Enforcement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 Canadian corporation. While the Corporation has appointed Enbridge (U.S.) Inc. as its agent to receive service of process with respect to any action brought against it in any federal or state court in the United States arising from any offering conducted under this Prospectus, it may not be possible for investors to enforce outside the United States judgments against the Corporation obtained in the United States in any such actions, including actions predicated upon the civil liability provisions of the United States federal and state securities laws. In addition, certain of the directors and officers of the Corporation are residents of Canada or other jurisdictions outside of the United States, and all or a substantial portion of the assets of those directors and officers are or may be located outside the United States. As a result, it may not be possible for investors to effect service of process within the United States upon those persons, or to enforce against them judgments obtained in United States courts, including judgments predicated upon the civil liability provisions of United States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sa_013"/>
      <w:bookmarkEnd w:id="29"/>
      <w:r>
        <w:rPr>
          <w:rFonts w:ascii="Times New Roman;Times;Serif" w:hAnsi="Times New Roman;Times;Serif"/>
          <w:b/>
          <w:i w:val="false"/>
          <w:caps/>
          <w:sz w:val="20"/>
        </w:rPr>
        <w:t>Validity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debt securities will be passed upon for us by McCarthy Tétrault LLP with respect to matters of Canadian law and by Sullivan &amp; Cromwell LLP with respect to matters of New York law. The validity of the guarantees will be passed upon for us by Sullivan &amp; Cromwell LLP. The validity of the common shares and preference shares will be passed upon for us by McCarthy Tétrault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sa_014"/>
      <w:bookmarkEnd w:id="3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financial statements incorporated in this Prospectus by reference to Enbridge Inc.’s </w:t>
      </w:r>
      <w:hyperlink r:id="rId33">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xml:space="preserve"> and management’s assessment of the effectiveness of internal control over financial reporting (which is included in Management’s Report on Internal Control over Financial Reporting) as of December 31, 2024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194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2819400" cy="6191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980"/>
        <w:gridCol w:w="1910"/>
        <w:gridCol w:w="1160"/>
        <w:gridCol w:w="3785"/>
      </w:tblGrid>
      <w:tr>
        <w:trPr/>
        <w:tc>
          <w:tcPr>
            <w:tcW w:w="28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RBC Capital Markets</w:t>
            </w:r>
          </w:p>
        </w:tc>
        <w:tc>
          <w:tcPr>
            <w:tcW w:w="49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CIBC Capital Markets</w:t>
            </w:r>
          </w:p>
        </w:tc>
      </w:tr>
      <w:tr>
        <w:trPr/>
        <w:tc>
          <w:tcPr>
            <w:tcW w:w="2890" w:type="dxa"/>
            <w:gridSpan w:val="2"/>
            <w:tcBorders/>
            <w:vAlign w:val="center"/>
          </w:tcPr>
          <w:p>
            <w:pPr>
              <w:pStyle w:val="TableContents"/>
              <w:bidi w:val="0"/>
              <w:spacing w:before="0" w:after="283"/>
              <w:jc w:val="center"/>
              <w:rPr/>
            </w:pPr>
            <w:r>
              <w:rPr/>
              <w:t> </w:t>
            </w:r>
          </w:p>
        </w:tc>
        <w:tc>
          <w:tcPr>
            <w:tcW w:w="4945" w:type="dxa"/>
            <w:gridSpan w:val="2"/>
            <w:tcBorders/>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Scotiabank</w:t>
            </w:r>
          </w:p>
        </w:tc>
        <w:tc>
          <w:tcPr>
            <w:tcW w:w="19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BMO Capital Markets</w:t>
            </w:r>
          </w:p>
        </w:tc>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TD Securities</w:t>
            </w:r>
          </w:p>
        </w:tc>
        <w:tc>
          <w:tcPr>
            <w:tcW w:w="37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National Bank of Canada Financial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95728/000119312526049810/enb-20251231.htm" TargetMode="External"/><Relationship Id="rId4" Type="http://schemas.openxmlformats.org/officeDocument/2006/relationships/hyperlink" Target="https://www.sec.gov/ix?doc=/Archives/edgar/data/895728/000119312526100426/enb-20251231.htm" TargetMode="External"/><Relationship Id="rId5" Type="http://schemas.openxmlformats.org/officeDocument/2006/relationships/hyperlink" Target="https://www.sec.gov/ix?doc=/Archives/edgar/data/895728/000119312526213266/enb-20260331.htm" TargetMode="External"/><Relationship Id="rId6" Type="http://schemas.openxmlformats.org/officeDocument/2006/relationships/hyperlink" Target="https://www.sec.gov/ix?doc=/Archives/edgar/data/895728/000119312526326752/enb-20260630.htm" TargetMode="External"/><Relationship Id="rId7" Type="http://schemas.openxmlformats.org/officeDocument/2006/relationships/hyperlink" Target="https://www.sec.gov/ix?doc=/Archives/edgar/data/895728/000119312526100395/enb-20260310.htm" TargetMode="External"/><Relationship Id="rId8" Type="http://schemas.openxmlformats.org/officeDocument/2006/relationships/hyperlink" Target="https://www.sec.gov/ix?doc=/Archives/edgar/data/895728/000119312526117636/enb-20260320.htm" TargetMode="External"/><Relationship Id="rId9" Type="http://schemas.openxmlformats.org/officeDocument/2006/relationships/hyperlink" Target="https://www.sec.gov/ix?doc=/Archives/edgar/data/895728/000110465926036134/tm269416d2_8k.htm" TargetMode="External"/><Relationship Id="rId10" Type="http://schemas.openxmlformats.org/officeDocument/2006/relationships/hyperlink" Target="https://www.sec.gov/ix?doc=/Archives/edgar/data/895728/000119312526212007/enb-20260506.htm" TargetMode="External"/><Relationship Id="rId11" Type="http://schemas.openxmlformats.org/officeDocument/2006/relationships/hyperlink" Target="https://www.sec.gov/ix?doc=/Archives/edgar/data/895728/000110465926105899/tm2624881d2_8k.htm" TargetMode="External"/><Relationship Id="rId12" Type="http://schemas.openxmlformats.org/officeDocument/2006/relationships/hyperlink" Target="https://www.sec.gov/Archives/edgar/data/895728/000110465918025323/a18-9991_28a12b.htm" TargetMode="External"/><Relationship Id="rId13" Type="http://schemas.openxmlformats.org/officeDocument/2006/relationships/hyperlink" Target="https://www.sec.gov/Archives/edgar/data/895728/000119312526049810/enb-ex4_16.htm" TargetMode="External"/><Relationship Id="rId14" Type="http://schemas.openxmlformats.org/officeDocument/2006/relationships/hyperlink" Target="https://www.sec.gov/ix?doc=/Archives/edgar/data/895728/000119312526049810/enb-20251231.htm" TargetMode="External"/><Relationship Id="rId15" Type="http://schemas.openxmlformats.org/officeDocument/2006/relationships/hyperlink" Target="https://www.sec.gov/ix?doc=/Archives/edgar/data/895728/000119312526049810/enb-20251231.htm" TargetMode="External"/><Relationship Id="rId16" Type="http://schemas.openxmlformats.org/officeDocument/2006/relationships/hyperlink" Target="https://www.sec.gov/ix?doc=/Archives/edgar/data/895728/000119312526213266/enb-20260331.htm" TargetMode="External"/><Relationship Id="rId17" Type="http://schemas.openxmlformats.org/officeDocument/2006/relationships/hyperlink" Target="https://www.sec.gov/ix?doc=/Archives/edgar/data/895728/000119312526326752/enb-20260630.htm" TargetMode="External"/><Relationship Id="rId18" Type="http://schemas.openxmlformats.org/officeDocument/2006/relationships/hyperlink" Target="https://www.sec.gov/ix?doc=/Archives/edgar/data/895728/000119312526326752/enb-20260630.htm" TargetMode="External"/><Relationship Id="rId19" Type="http://schemas.openxmlformats.org/officeDocument/2006/relationships/hyperlink" Target="https://www.sec.gov/Archives/edgar/data/895728/000119312526212007/enb-ex4_1.htm" TargetMode="External"/><Relationship Id="rId20" Type="http://schemas.openxmlformats.org/officeDocument/2006/relationships/hyperlink" Target="https://www.sec.gov/ix?doc=/Archives/edgar/data/895728/000119312526049810/enb-20251231.htm" TargetMode="External"/><Relationship Id="rId21" Type="http://schemas.openxmlformats.org/officeDocument/2006/relationships/image" Target="media/image1.jpeg"/><Relationship Id="rId22" Type="http://schemas.openxmlformats.org/officeDocument/2006/relationships/hyperlink" Target="https://www.sec.gov/ix?doc=/Archives/edgar/data/895728/000089572825000006/enb-20241231.htm" TargetMode="External"/><Relationship Id="rId23" Type="http://schemas.openxmlformats.org/officeDocument/2006/relationships/hyperlink" Target="https://www.sec.gov/ix?doc=/Archives/edgar/data/895728/000089572825000006/enb-20241231.htm" TargetMode="External"/><Relationship Id="rId24" Type="http://schemas.openxmlformats.org/officeDocument/2006/relationships/hyperlink" Target="https://www.sec.gov/ix?doc=/Archives/edgar/data/895728/000119312525052058/d915084d10ka.htm" TargetMode="External"/><Relationship Id="rId25" Type="http://schemas.openxmlformats.org/officeDocument/2006/relationships/hyperlink" Target="https://www.sec.gov/ix?doc=/Archives/edgar/data/895728/000089572825000012/enb-20250331.htm" TargetMode="External"/><Relationship Id="rId26" Type="http://schemas.openxmlformats.org/officeDocument/2006/relationships/hyperlink" Target="https://www.sec.gov/ix?doc=/Archives/edgar/data/895728/000095017025101102/enb-20250630.htm" TargetMode="External"/><Relationship Id="rId27" Type="http://schemas.openxmlformats.org/officeDocument/2006/relationships/hyperlink" Target="https://www.sec.gov/ix?doc=/Archives/edgar/data/895728/000119312525027290/d857524d8ka.htm" TargetMode="External"/><Relationship Id="rId28" Type="http://schemas.openxmlformats.org/officeDocument/2006/relationships/hyperlink" Target="https://www.sec.gov/ix?doc=/Archives/edgar/data/895728/000119312525052056/d915082d8k.htm" TargetMode="External"/><Relationship Id="rId29" Type="http://schemas.openxmlformats.org/officeDocument/2006/relationships/hyperlink" Target="https://www.sec.gov/ix?doc=/Archives/edgar/data/895728/000119312525060242/d915080d8k.htm" TargetMode="External"/><Relationship Id="rId30" Type="http://schemas.openxmlformats.org/officeDocument/2006/relationships/hyperlink" Target="https://www.sec.gov/ix?doc=/Archives/edgar/data/895728/000119312525115979/d937128d8k.htm" TargetMode="External"/><Relationship Id="rId31" Type="http://schemas.openxmlformats.org/officeDocument/2006/relationships/hyperlink" Target="https://www.sec.gov/ix?doc=/Archives/edgar/data/895728/000110465925061164/tm2517955d4_8k.htm" TargetMode="External"/><Relationship Id="rId32" Type="http://schemas.openxmlformats.org/officeDocument/2006/relationships/hyperlink" Target="https://www.sec.gov/Archives/edgar/data/895728/000104746917005855/a2233263zf-10.htm" TargetMode="External"/><Relationship Id="rId33" Type="http://schemas.openxmlformats.org/officeDocument/2006/relationships/hyperlink" Target="https://www.sec.gov/ix?doc=/Archives/edgar/data/895728/000089572825000006/enb-20241231.htm" TargetMode="External"/><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24180</Words>
  <Characters>129940</Characters>
  <CharactersWithSpaces>154469</CharactersWithSpaces>
  <Paragraphs>1404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