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156845</wp:posOffset>
            </wp:positionV>
            <wp:extent cx="274320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ENBRIDGE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4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001-15254</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98-0377957</w:t>
            </w:r>
          </w:p>
        </w:tc>
      </w:tr>
      <w:tr>
        <w:trPr>
          <w:trHeight w:val="216"/>
        </w:trPr>
        <w:tc>
          <w:tcPr>
            <w:tcW w:w="24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4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460" w:type="dxa"/>
            <w:vAlign w:val="bottom"/>
          </w:tcPr>
          <w:p>
            <w:pPr>
              <w:spacing w:after="0"/>
              <w:rPr>
                <w:sz w:val="24"/>
                <w:szCs w:val="24"/>
                <w:color w:val="auto"/>
              </w:rPr>
            </w:pPr>
          </w:p>
        </w:tc>
        <w:tc>
          <w:tcPr>
            <w:tcW w:w="4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200, 425 - 1st Street S.W.</w:t>
            </w:r>
          </w:p>
        </w:tc>
        <w:tc>
          <w:tcPr>
            <w:tcW w:w="192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4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Calgary, Alberta, Canada T2P 3L8</w:t>
            </w:r>
          </w:p>
        </w:tc>
        <w:tc>
          <w:tcPr>
            <w:tcW w:w="192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4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20" w:type="dxa"/>
            <w:vAlign w:val="bottom"/>
          </w:tcPr>
          <w:p>
            <w:pPr>
              <w:spacing w:after="0"/>
              <w:rPr>
                <w:sz w:val="20"/>
                <w:szCs w:val="20"/>
                <w:color w:val="auto"/>
              </w:rPr>
            </w:pPr>
          </w:p>
        </w:tc>
      </w:tr>
      <w:tr>
        <w:trPr>
          <w:trHeight w:val="410"/>
        </w:trPr>
        <w:tc>
          <w:tcPr>
            <w:tcW w:w="2460" w:type="dxa"/>
            <w:vAlign w:val="bottom"/>
          </w:tcPr>
          <w:p>
            <w:pPr>
              <w:spacing w:after="0"/>
              <w:rPr>
                <w:sz w:val="24"/>
                <w:szCs w:val="24"/>
                <w:color w:val="auto"/>
              </w:rPr>
            </w:pPr>
          </w:p>
        </w:tc>
        <w:tc>
          <w:tcPr>
            <w:tcW w:w="4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1-403-231-3900</w:t>
            </w:r>
          </w:p>
        </w:tc>
        <w:tc>
          <w:tcPr>
            <w:tcW w:w="1920" w:type="dxa"/>
            <w:vAlign w:val="bottom"/>
          </w:tcPr>
          <w:p>
            <w:pPr>
              <w:spacing w:after="0"/>
              <w:rPr>
                <w:sz w:val="24"/>
                <w:szCs w:val="24"/>
                <w:color w:val="auto"/>
              </w:rPr>
            </w:pPr>
          </w:p>
        </w:tc>
      </w:tr>
      <w:tr>
        <w:trPr>
          <w:trHeight w:val="238"/>
        </w:trPr>
        <w:tc>
          <w:tcPr>
            <w:tcW w:w="2460" w:type="dxa"/>
            <w:vAlign w:val="bottom"/>
          </w:tcPr>
          <w:p>
            <w:pPr>
              <w:spacing w:after="0"/>
              <w:rPr>
                <w:sz w:val="20"/>
                <w:szCs w:val="20"/>
                <w:color w:val="auto"/>
              </w:rPr>
            </w:pPr>
          </w:p>
        </w:tc>
        <w:tc>
          <w:tcPr>
            <w:tcW w:w="4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980" w:type="dxa"/>
            <w:vAlign w:val="bottom"/>
          </w:tcPr>
          <w:p>
            <w:pPr>
              <w:spacing w:after="0"/>
              <w:rPr>
                <w:sz w:val="24"/>
                <w:szCs w:val="24"/>
                <w:color w:val="auto"/>
              </w:rPr>
            </w:pPr>
          </w:p>
        </w:tc>
        <w:tc>
          <w:tcPr>
            <w:tcW w:w="33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jc w:val="center"/>
              <w:ind w:left="10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20" w:type="dxa"/>
            <w:vAlign w:val="bottom"/>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gridSpan w:val="2"/>
            <w:vMerge w:val="restart"/>
          </w:tcPr>
          <w:p>
            <w:pPr>
              <w:jc w:val="center"/>
              <w:ind w:right="9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gridSpan w:val="2"/>
            <w:vMerge w:val="continue"/>
          </w:tcPr>
          <w:p>
            <w:pPr>
              <w:spacing w:after="0"/>
              <w:rPr>
                <w:sz w:val="15"/>
                <w:szCs w:val="15"/>
                <w:color w:val="auto"/>
              </w:rPr>
            </w:pPr>
          </w:p>
        </w:tc>
        <w:tc>
          <w:tcPr>
            <w:tcW w:w="2820" w:type="dxa"/>
            <w:vAlign w:val="bottom"/>
          </w:tcPr>
          <w:p>
            <w:pPr>
              <w:spacing w:after="0"/>
              <w:rPr>
                <w:sz w:val="15"/>
                <w:szCs w:val="15"/>
                <w:color w:val="auto"/>
              </w:rPr>
            </w:pPr>
          </w:p>
        </w:tc>
        <w:tc>
          <w:tcPr>
            <w:tcW w:w="2640" w:type="dxa"/>
            <w:vAlign w:val="bottom"/>
            <w:gridSpan w:val="2"/>
          </w:tcPr>
          <w:p>
            <w:pPr>
              <w:jc w:val="center"/>
              <w:ind w:right="1920"/>
              <w:spacing w:after="0" w:line="176" w:lineRule="exact"/>
              <w:rPr>
                <w:sz w:val="20"/>
                <w:szCs w:val="20"/>
                <w:color w:val="auto"/>
              </w:rPr>
            </w:pPr>
            <w:r>
              <w:rPr>
                <w:rFonts w:ascii="Times New Roman" w:cs="Times New Roman" w:eastAsia="Times New Roman" w:hAnsi="Times New Roman"/>
                <w:sz w:val="18"/>
                <w:szCs w:val="18"/>
                <w:b w:val="1"/>
                <w:bCs w:val="1"/>
                <w:color w:val="auto"/>
                <w:w w:val="93"/>
              </w:rPr>
              <w:t>Symbol(s)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28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ENB</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27, 2026, Enbridge Inc. (the “Corporation”) completed the offering of US$1,000,000,000 aggregate principal amount of its 4.850% Senior Notes due 2031 (the “2031 Notes”) and US$1,000,000,000 aggregate principal amount of its 5.450% Senior Notes due 2036 (the “2036 Notes” and, together with the 2031 Notes, the “Notes”). The Notes are fully and unconditionally guaranteed by Enbridge Energy Partners, L.P. and Spectra Energy Partners, LP (together, the “Guarantors”), each of which is an indirect, wholly-owned subsidiary of the Corporation.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Notes were offered pursuant to the Corporation’s Registration Statement on Form S-3 filed with the Securities and Exchange Commission on August 1, 2025 (Reg. No. 333-289186) (the “Registration Statement”).</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documents relating to the sale of the Notes are filed as exhibits to this Current Report on Form 8-K and are incorporated by reference into this Item 8.01 and the Registration Statement:</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Agreement, dated March 24, 2026, between the Corporation, the Guarantors and the underwriters party thereto.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Certificate of the Corporation, dated March 27,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Global Note representing the 2031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Global Note representing the 2036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Sullivan &amp; Cromwell LLP, U.S. counsel for the Corporation, as to the validity of the Notes and related guarantees.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McCarthy Tétrault LLP, Canadian counsel for the Corporation, as to the validity of the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0"/>
        </w:trPr>
        <w:tc>
          <w:tcPr>
            <w:tcW w:w="12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12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540" w:type="dxa"/>
            <w:vAlign w:val="bottom"/>
          </w:tcPr>
          <w:p>
            <w:pPr>
              <w:spacing w:after="0"/>
              <w:rPr>
                <w:sz w:val="20"/>
                <w:szCs w:val="20"/>
                <w:color w:val="auto"/>
              </w:rPr>
            </w:pPr>
          </w:p>
        </w:tc>
        <w:tc>
          <w:tcPr>
            <w:tcW w:w="54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400" w:type="dxa"/>
            <w:vAlign w:val="bottom"/>
            <w:tcBorders>
              <w:top w:val="single" w:sz="8" w:color="auto"/>
            </w:tcBorders>
            <w:gridSpan w:val="2"/>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Borders>
              <w:top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0000EE"/>
              </w:rPr>
              <w:t>Underwriting Agreement, dated March 24, 2026, between the Corporation, the Guarantors and the underwriters party thereto.</w:t>
            </w:r>
          </w:p>
        </w:tc>
      </w:tr>
      <w:tr>
        <w:trPr>
          <w:trHeight w:val="196"/>
        </w:trPr>
        <w:tc>
          <w:tcPr>
            <w:tcW w:w="400" w:type="dxa"/>
            <w:vAlign w:val="bottom"/>
            <w:gridSpan w:val="2"/>
          </w:tcPr>
          <w:p>
            <w:pPr>
              <w:spacing w:after="0"/>
              <w:rPr>
                <w:sz w:val="17"/>
                <w:szCs w:val="17"/>
                <w:color w:val="auto"/>
              </w:rPr>
            </w:pPr>
          </w:p>
        </w:tc>
        <w:tc>
          <w:tcPr>
            <w:tcW w:w="220" w:type="dxa"/>
            <w:vAlign w:val="bottom"/>
            <w:tcBorders>
              <w:top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4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Officers’ Certificate of the Corporation, dated March 27, 2026.</w:t>
            </w:r>
          </w:p>
        </w:tc>
        <w:tc>
          <w:tcPr>
            <w:tcW w:w="960" w:type="dxa"/>
            <w:vAlign w:val="bottom"/>
            <w:gridSpan w:val="2"/>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0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Form of Global Note representing the 2031 Notes (included in Exhibit 4.1).</w:t>
            </w:r>
          </w:p>
        </w:tc>
        <w:tc>
          <w:tcPr>
            <w:tcW w:w="4540" w:type="dxa"/>
            <w:vAlign w:val="bottom"/>
            <w:gridSpan w:val="4"/>
          </w:tcPr>
          <w:p>
            <w:pPr>
              <w:spacing w:after="0"/>
              <w:rPr>
                <w:sz w:val="17"/>
                <w:szCs w:val="17"/>
                <w:color w:val="auto"/>
              </w:rPr>
            </w:pPr>
          </w:p>
        </w:tc>
      </w:tr>
      <w:tr>
        <w:trPr>
          <w:trHeight w:val="196"/>
        </w:trPr>
        <w:tc>
          <w:tcPr>
            <w:tcW w:w="40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Form of Global Note representing the 2036 Notes (included in Exhibit 4.1).</w:t>
            </w:r>
          </w:p>
        </w:tc>
        <w:tc>
          <w:tcPr>
            <w:tcW w:w="4540" w:type="dxa"/>
            <w:vAlign w:val="bottom"/>
            <w:gridSpan w:val="4"/>
          </w:tcPr>
          <w:p>
            <w:pPr>
              <w:spacing w:after="0"/>
              <w:rPr>
                <w:sz w:val="17"/>
                <w:szCs w:val="17"/>
                <w:color w:val="auto"/>
              </w:rPr>
            </w:pPr>
          </w:p>
        </w:tc>
      </w:tr>
      <w:tr>
        <w:trPr>
          <w:trHeight w:val="196"/>
        </w:trPr>
        <w:tc>
          <w:tcPr>
            <w:tcW w:w="40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Opinion of Sullivan &amp; Cromwell LLP, U.S. counsel for the Corporation, as to the validity of the Notes and related guarantees.</w:t>
            </w:r>
          </w:p>
        </w:tc>
        <w:tc>
          <w:tcPr>
            <w:tcW w:w="920" w:type="dxa"/>
            <w:vAlign w:val="bottom"/>
          </w:tcPr>
          <w:p>
            <w:pPr>
              <w:spacing w:after="0"/>
              <w:rPr>
                <w:sz w:val="17"/>
                <w:szCs w:val="17"/>
                <w:color w:val="auto"/>
              </w:rPr>
            </w:pPr>
          </w:p>
        </w:tc>
      </w:tr>
      <w:tr>
        <w:trPr>
          <w:trHeight w:val="196"/>
        </w:trPr>
        <w:tc>
          <w:tcPr>
            <w:tcW w:w="400" w:type="dxa"/>
            <w:vAlign w:val="bottom"/>
            <w:gridSpan w:val="2"/>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Opinion of McCarthy Tétrault LLP, Canadian counsel for the Corporation, as to the validity of the Notes.</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r>
      <w:tr>
        <w:trPr>
          <w:trHeight w:val="196"/>
        </w:trPr>
        <w:tc>
          <w:tcPr>
            <w:tcW w:w="68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Sullivan &amp; Cromwell LLP (included in Exhibit 5.1 above).</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r>
      <w:tr>
        <w:trPr>
          <w:trHeight w:val="196"/>
        </w:trPr>
        <w:tc>
          <w:tcPr>
            <w:tcW w:w="680" w:type="dxa"/>
            <w:vAlign w:val="bottom"/>
            <w:gridSpan w:val="4"/>
          </w:tcPr>
          <w:p>
            <w:pPr>
              <w:jc w:val="center"/>
              <w:ind w:left="27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McCarthy Tétrault LLP (included in Exhibit 5.2 above).</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r>
      <w:tr>
        <w:trPr>
          <w:trHeight w:val="237"/>
        </w:trPr>
        <w:tc>
          <w:tcPr>
            <w:tcW w:w="6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ENBRIDGE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(Registrant)</w:t>
      </w:r>
    </w:p>
    <w:p>
      <w:pPr>
        <w:sectPr>
          <w:pgSz w:w="11900" w:h="16838" w:orient="portrait"/>
          <w:cols w:equalWidth="0" w:num="1">
            <w:col w:w="10280"/>
          </w:cols>
          <w:pgMar w:left="320" w:top="900" w:right="12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27,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David Taniguchi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4920" w:space="720"/>
            <w:col w:w="260" w:space="60"/>
            <w:col w:w="4320"/>
          </w:cols>
          <w:pgMar w:left="320" w:top="900" w:right="129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8"/>
          <w:szCs w:val="18"/>
          <w:color w:val="auto"/>
        </w:rPr>
        <w:t>David Taniguchi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Vice President, Legal &amp; Corporate Secretary</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Enbridge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US$1,000,000,000 4.850% Senior Notes due 2031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US$1,000,000,000 5.450% Senior Notes due 2036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auto"/>
        </w:rPr>
        <w:t>March 24,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II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Enbridge Inc., a corporation organized under the laws of Canada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sell to the several underwriters named in Schedule II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are acting as representatives, the principal amount of its securities identified in Schedule I hereto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unconditionally guaranteed on a senior unsecured basis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by each of Spectra Energy Partners, LP, a Delaware limited partnership, and Enbridge Energy Partners, L.P., a Delaware limited partnership (together,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References to the “Securities” shall include the Guarantees, unless the context otherwise requires. The Securities are to be issued under an indenture, dated as of February 25, 2005, as amended and supplemented by the First Supplemental Indenture, dated as of March 1, 2012, each between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the Company, and by the Sixth Supplemental Indenture, dated as of May 13, 2019, and the Eighth Supplemental Indenture, dated as of June 28, 2021, each among the Company, the Subsidiary Guarantors and the Trustee (such indenture, as amended and supplemented by such First Supplemental Indenture, Sixth Supplemental Indenture and Eighth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form and terms of the Securities will be established in an Officer’s Certificate (as defined in the Indenture), pursuant to Section 301 of the Indenture. To the extent there are no additional Underwriters listed in Schedule II other than you, the term Representatives as used herein shall mean you, as Underwriters, and the terms Representatives and Underwriters shall mean either the singular or plural as the context requires. Any reference herein to the Registration Statement, any Preliminary Prospectus Supplement or the Final Prospectus shall be deemed to refer to and include the documents incorporated by reference therein pursuant to Item 12 of Form S-3 which were filed under the Exchange Act on or before the Effective Date of the Registration Statement or the issue date of any Preliminary Prospectus Supplement or the Final Prospectus, as the case may be; and any reference herein to the terms “amend”, “amendment” or “supplement” with respect to the Registration Statement, any Preliminary Prospectus Supplement or the Final Prospectus shall be deemed to refer to and include the filing of any document under the Exchange Act after the Effective Date of the Registration Statement or the issue date of any Preliminary Prospectus Supplement or the Final Prospectus, as the case may be, deemed to be incorporated therein by reference prior to the termination of the distribution of the Securities by the Underwriters. Certain terms used herein are defined in Section 22 hereof.  </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The Company and each Subsidiary Guarantor, jointly and severally, represent and warrant to, and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each Underwriter as set forth below in this Section 1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Registration Requirement Compliance</w:t>
      </w:r>
      <w:r>
        <w:rPr>
          <w:rFonts w:ascii="Times New Roman" w:cs="Times New Roman" w:eastAsia="Times New Roman" w:hAnsi="Times New Roman"/>
          <w:sz w:val="18"/>
          <w:szCs w:val="18"/>
          <w:color w:val="auto"/>
        </w:rPr>
        <w:t>. The Company and the offering of Securities meet the eligibility requirements for use of Form S-3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Act, the Company has filed a Registration Statement on Form S-3 (File No. 333-289186) in respect of the Securities and has caused the Trustee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and file with the Commission a Statement of Eligibility and Qualification on Form T-1 (the “</w:t>
      </w:r>
      <w:r>
        <w:rPr>
          <w:rFonts w:ascii="Times New Roman" w:cs="Times New Roman" w:eastAsia="Times New Roman" w:hAnsi="Times New Roman"/>
          <w:sz w:val="18"/>
          <w:szCs w:val="18"/>
          <w:b w:val="1"/>
          <w:bCs w:val="1"/>
          <w:color w:val="auto"/>
        </w:rPr>
        <w:t>Form T-1</w:t>
      </w:r>
      <w:r>
        <w:rPr>
          <w:rFonts w:ascii="Times New Roman" w:cs="Times New Roman" w:eastAsia="Times New Roman" w:hAnsi="Times New Roman"/>
          <w:sz w:val="18"/>
          <w:szCs w:val="18"/>
          <w:color w:val="auto"/>
        </w:rPr>
        <w:t>”); such registration statement and any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amendment thereto, each in the form heretofore delivered or to be delivered to the Representatives and, including exhibits to such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and any documents incorporated by reference in the prospectus contained therein, for delivery by them to each of the other Underwriters, became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under the Act in such form; no other document with respect to such registration statement or documents incorporated by reference therein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heretofore been filed or transmitted for filing with the Commission; no stop order suspending the effectiveness of such registration statement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to the Company’s knowledge, no proceeding for that purpose has been initiated or threatened by the Commission; the various parts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including all exhibits thereto and the documents incorporated by reference in the prospectus contained in the registration statement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such part of the registration statement became effective and including the information, if any, deemed pursuant to Rule 430A, 430B or 430C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 to be part of the registration statement at the time of its effectiveness, but excluding the Form T-1, each as amended at the time such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became effective and including any post-effective amendment thereto, are hereinafter collectively called the “</w:t>
      </w:r>
      <w:r>
        <w:rPr>
          <w:rFonts w:ascii="Times New Roman" w:cs="Times New Roman" w:eastAsia="Times New Roman" w:hAnsi="Times New Roman"/>
          <w:sz w:val="18"/>
          <w:szCs w:val="18"/>
          <w:b w:val="1"/>
          <w:bCs w:val="1"/>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the prospectus relating to the Securities, in the form in which it has most recently been filed, or transmitted for filing, with the Commission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prior to the Execution Time, being hereinafter called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with respect to the Securities,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as supplemented by the first prospectus supplement relating to the offering of the Securities containing pricing information that is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 pursuant to Rule 424(b) under the Act in the form first used (or made available upon request of purchasers pursuant to Rule 173 under the 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reference herein to any Basic Prospectus, Preliminary Prospectus Supplement or Final Prospectus shall be deemed to refer to and include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 therein as of the date of such Basic Prospectus, Preliminary Prospectus Supplement or Final Prospectus, as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any reference to any amendment or supplement to any Basic Prospectus, Preliminary Prospectus Supplement or Final Prospectus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refer to and include any documents filed as of the date of such amendment or supplement under the Exchange Act and incorporated by reference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(b.2)       </w:t>
      </w:r>
      <w:r>
        <w:rPr>
          <w:rFonts w:ascii="Times New Roman" w:cs="Times New Roman" w:eastAsia="Times New Roman" w:hAnsi="Times New Roman"/>
          <w:sz w:val="18"/>
          <w:szCs w:val="18"/>
          <w:u w:val="single" w:color="auto"/>
          <w:color w:val="auto"/>
        </w:rPr>
        <w:t>  Disclosure Package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shall mean (i) the Preliminary Prospectus Supplement dated March 24, 2026, (ii) the Issuer Free Writing Prospectuses, if any, attached as part of Annex G hereto, and (iii) any other free writing prospectus that the parties hereto shall hereafter expressly agree in writing to treat as part of the Disclosure Package. As of 3:25 p.m. (Eastern time) on the date of execution and delivery of this Agreement (the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the Disclosure Package did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(b.3)       </w:t>
      </w:r>
      <w:r>
        <w:rPr>
          <w:rFonts w:ascii="Times New Roman" w:cs="Times New Roman" w:eastAsia="Times New Roman" w:hAnsi="Times New Roman"/>
          <w:sz w:val="18"/>
          <w:szCs w:val="18"/>
          <w:u w:val="single" w:color="auto"/>
          <w:color w:val="auto"/>
        </w:rPr>
        <w:t>  Company Not Ineligible Issuer</w:t>
      </w:r>
      <w:r>
        <w:rPr>
          <w:rFonts w:ascii="Times New Roman" w:cs="Times New Roman" w:eastAsia="Times New Roman" w:hAnsi="Times New Roman"/>
          <w:sz w:val="18"/>
          <w:szCs w:val="18"/>
          <w:color w:val="auto"/>
        </w:rPr>
        <w:t xml:space="preserve">. (i) At the earliest time after the filing of the Registration Statement relating to the Securities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Act) and (ii) as of the date of the execution and delivery of this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such date being used as the determination date for purposes of this clause (ii)), the Company was not and is not an ineligible issuer (as defined in Rule 405 of the Act), without taking account of any determination by the Commission pursuant to Rule 405 of the Act that it is not necessary that the Company be considered an ineligible issuer;  </w:t>
      </w:r>
    </w:p>
    <w:p>
      <w:pPr>
        <w:spacing w:after="0" w:line="2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(b.4)       </w:t>
      </w:r>
      <w:r>
        <w:rPr>
          <w:rFonts w:ascii="Times New Roman" w:cs="Times New Roman" w:eastAsia="Times New Roman" w:hAnsi="Times New Roman"/>
          <w:sz w:val="18"/>
          <w:szCs w:val="18"/>
          <w:u w:val="single" w:color="auto"/>
          <w:color w:val="auto"/>
        </w:rPr>
        <w:t>  Well-Known Seasoned Issuer</w:t>
      </w:r>
      <w:r>
        <w:rPr>
          <w:rFonts w:ascii="Times New Roman" w:cs="Times New Roman" w:eastAsia="Times New Roman" w:hAnsi="Times New Roman"/>
          <w:sz w:val="18"/>
          <w:szCs w:val="18"/>
          <w:color w:val="auto"/>
        </w:rPr>
        <w:t>. The Company has been since the time of initial filing of the Registration Statement and continues to be a “well-known seasoned issuer” (as defined in Rule 405 of the Act) eligible to use Form S-3 for the offering of the Securities, including not having been an “ineligible issuer” (as defined in Rule 405 of the Act) at any such time or date. The Registration Statement is an “automatic shelf registration statement” (as defined in Rule 405 of the Act) and was filed not earlier than the date that is three years prior to the Closing Date;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(b.5)       </w:t>
      </w:r>
      <w:r>
        <w:rPr>
          <w:rFonts w:ascii="Times New Roman" w:cs="Times New Roman" w:eastAsia="Times New Roman" w:hAnsi="Times New Roman"/>
          <w:sz w:val="17"/>
          <w:szCs w:val="17"/>
          <w:u w:val="single" w:color="auto"/>
          <w:color w:val="auto"/>
        </w:rPr>
        <w:t>  Issuer Free Writing Prospectuses</w:t>
      </w:r>
      <w:r>
        <w:rPr>
          <w:rFonts w:ascii="Times New Roman" w:cs="Times New Roman" w:eastAsia="Times New Roman" w:hAnsi="Times New Roman"/>
          <w:sz w:val="17"/>
          <w:szCs w:val="17"/>
          <w:color w:val="auto"/>
        </w:rPr>
        <w:t>. Each Issuer Free Writing Prospectus, as of its issue date, did not include any information that conflicted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information contained in the Registration Statement, including any document incorporated by reference therein that has not been superseded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If at any time following issuance of an Issuer Free Writing Prospectus there occurred or occurs an event or development as a result of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Free Writing Prospectus conflicted or would conflict with the information contained in the Registration Statement, the Company has promptly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notified or will promptly notify the Representatives and has promptly amended or supplemented or will promptly amend or supplement, at its own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Issuer Free Writing Prospectus to eliminate or correct such conflict. The foregoing two sentences do not apply to statements in or omissions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Free Writing Prospectus based upon and in conformity with written information furnished to the Company by any Underwriter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specifically for use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(b.6)       </w:t>
      </w:r>
      <w:r>
        <w:rPr>
          <w:rFonts w:ascii="Times New Roman" w:cs="Times New Roman" w:eastAsia="Times New Roman" w:hAnsi="Times New Roman"/>
          <w:sz w:val="17"/>
          <w:szCs w:val="17"/>
          <w:u w:val="single" w:color="auto"/>
          <w:color w:val="auto"/>
        </w:rPr>
        <w:t>  Distribution of Offering Material by the Company</w:t>
      </w:r>
      <w:r>
        <w:rPr>
          <w:rFonts w:ascii="Times New Roman" w:cs="Times New Roman" w:eastAsia="Times New Roman" w:hAnsi="Times New Roman"/>
          <w:sz w:val="17"/>
          <w:szCs w:val="17"/>
          <w:color w:val="auto"/>
        </w:rPr>
        <w:t>. Neither the Company nor any Subsidiary Guarantor has distributed, or will distribute,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completion of the Underwriters’ distribution of the Securities, any offering material in connection with the offering and sale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Preliminary Prospectus Supplement, the Final Prospectus, any Issuer Free Writing Prospectus reviewed and consented to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Incorporated Documents</w:t>
      </w:r>
      <w:r>
        <w:rPr>
          <w:rFonts w:ascii="Times New Roman" w:cs="Times New Roman" w:eastAsia="Times New Roman" w:hAnsi="Times New Roman"/>
          <w:sz w:val="18"/>
          <w:szCs w:val="18"/>
          <w:color w:val="auto"/>
        </w:rPr>
        <w:t>. The documents included or incorporated by reference in the Registration Statement, the Disclosure Package and the Final Prospectus, when they were filed with the Commission, conformed in all material respects to any applicable requirements of the Exchange Act and the rules and regulations of the Commission thereunder; and any further documents so filed and incorporated by reference in the Registration Statement, the Disclosure Package and the Final Prospectus or any amendment or supplement thereto, when such documents are filed with the Commission, will conform in all material respects to the requirements of the Exchange Act and the rules and regulations of the Commission thereunder. Such documents included or incorporated by reference in the Registration Statement prior to the Applicable Time, when filed with the Commission, did not, and any such documents filed after the Applicable Time, when filed with the Commission, will not, contain an untrue statement of a material fact or omit to state a material fact necessary in order to make the statements therein, in light of the circumstances under which they were made, not misleading;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Disclosure Conformity</w:t>
      </w:r>
      <w:r>
        <w:rPr>
          <w:rFonts w:ascii="Times New Roman" w:cs="Times New Roman" w:eastAsia="Times New Roman" w:hAnsi="Times New Roman"/>
          <w:sz w:val="18"/>
          <w:szCs w:val="18"/>
          <w:color w:val="auto"/>
        </w:rPr>
        <w:t>. On the Effective Date, the Registration Statement did, on the date it was first filed, each Preliminary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did, and on the date it was first filed and on the Closing Date, the Final Prospectus did and will conform in all material respects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requirements of the Act and the Trust Indenture Act and the rules and regulations of the Commission under both the Act and the Trust Indenture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the Registration Statement, as of the Effective Date and at the Applicable Time did not and will not contain an untrue statement of a material fact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 to state a material fact required to be stated therein or necessary to make the statements therein not misleading, any Issuer Free Writing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taken together with the Disclosure Package, as of the Applicable Time, did not contain an untrue statement of a material fact or omit to state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fact required to be stated therein or necessary to make the statements therein not misleading, and the Basic Prospectus as of its filing date, and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Time, did not and will not contain any untrue statement of a material fact or omit to state a material fact required to be stated therein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make the statements therein, in light of the circumstances under which they were made, not misleading; and the Final Prospectus will not,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date and as of the Closing Date, contain any untrue statement of a material fact or omit to state a material fact required to be stated therein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necessary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and warranty shall not apply to any statements or omissions made in reliance upon and in conformity with information furnished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 by or on behalf of any Underwriter through the Representatives specifically for inclusion in the Registration Statement or the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to the Form T-1 of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Company Good Standing</w:t>
      </w:r>
      <w:r>
        <w:rPr>
          <w:rFonts w:ascii="Times New Roman" w:cs="Times New Roman" w:eastAsia="Times New Roman" w:hAnsi="Times New Roman"/>
          <w:sz w:val="18"/>
          <w:szCs w:val="18"/>
          <w:color w:val="auto"/>
        </w:rPr>
        <w:t>. The Company has been duly incorporated and is a valid and subsisting corporation under the laws of Canada with full corporate power and authority to own or lease, as the case may be, and to operate its properties and conduct its business as described in the Disclosure Package and the Final Prospectus, and is duly qualified or registered to transact business and is in good standing in each jurisdiction in which the conduct of its business or its ownership or leasing of property requires such qualification, except to the extent that the failure to be so qualified, registered or be in good standing would not, individually or in the aggregate, be reasonably expected to have a Material Adverse Effect;  </w:t>
      </w:r>
    </w:p>
    <w:p>
      <w:pPr>
        <w:spacing w:after="0" w:line="2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Subsidiary Good Standing</w:t>
      </w:r>
      <w:r>
        <w:rPr>
          <w:rFonts w:ascii="Times New Roman" w:cs="Times New Roman" w:eastAsia="Times New Roman" w:hAnsi="Times New Roman"/>
          <w:sz w:val="18"/>
          <w:szCs w:val="18"/>
          <w:color w:val="auto"/>
        </w:rPr>
        <w:t>. Each of the Company’s Significant Subsidiaries has been duly incorporated or formed, as applicable, and is validly existing as a corporation, limited partnership, limited liability company or trust, as applicable, in good standing under the laws of the jurisdiction of its incorporation or formation, as applicable, has the corporate, limited partnership, limited liability company or trust power, as applicable, and authority to own its property and to conduct its business as described in the Disclosure Package and the Final Prospectus (or as presently conducted, if not so described therein) and is duly qualified or registered to transact business and is in good standing in each jurisdiction in which the conduct of its business or its ownership or leasing of property requires such qualification or registration, except to the extent that the failure to be so qualified, registered or be in good standing would not, individually or in the aggregate, be reasonably expected to have a Material Adverse Effect. Other than the Significant Subsidiaries, each of the other subsidiaries of the Company did not have (i) as of the last day of the Company’s most recent fiscal year, total assets in excess of 10% of the consolidated assets of the Company and its subsidiaries as at that date and (ii) for the fiscal year then ended, total revenues in excess of 10% of the consolidated revenues of the Company and its subsidiaries for such period. In making this determination, any subsidiary acquired after the last day of the Company’s most recent fiscal year shall be deemed to have been acquired as of such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Existing Instruments</w:t>
      </w:r>
      <w:r>
        <w:rPr>
          <w:rFonts w:ascii="Times New Roman" w:cs="Times New Roman" w:eastAsia="Times New Roman" w:hAnsi="Times New Roman"/>
          <w:sz w:val="18"/>
          <w:szCs w:val="18"/>
          <w:color w:val="auto"/>
        </w:rPr>
        <w:t>. There is no contract, agreement or other document of a character required to be described in the Registration Statement or the Final Prospectus, or to be filed as an exhibit thereto, which is not described therein or filed as required; and the statements in the Disclosure Package or the Final Prospectus under the headings “Material Income Tax Considerations,” “Description of Debt Securities and Guarantees” and “Description of the Notes and the Guarantees,” insofar as such statements summarize legal matters, agreements, documents or proceedings discussed therein, are accurate and fair summaries of such legal matters, agreements, documents or proceedings;  </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Agreement, Securities and Indenture Authorization</w:t>
      </w:r>
      <w:r>
        <w:rPr>
          <w:rFonts w:ascii="Times New Roman" w:cs="Times New Roman" w:eastAsia="Times New Roman" w:hAnsi="Times New Roman"/>
          <w:sz w:val="17"/>
          <w:szCs w:val="17"/>
          <w:color w:val="auto"/>
        </w:rPr>
        <w:t>. The Company and each Subsidiary Guarantor has full corporate or limited partnership power and authority to execute, deliver and perform its obligations under this Agreement and this Agreement has been duly authorized, executed and delivered by the Company and each Subsidiary Guarantor; the Securities have been duly authorized and, when the Securities are issued and delivered pursuant to this Agreement, such Securities will have been duly executed, authenticated, issued and delivered and, upon payment for the Securities by the Representatives to the Company, will constitute valid and legally binding obligations of the Company entitled to the benefits of the Indenture; the Guarantees have been duly authorized and, when the Securities are issued and delivered pursuant to this Agreement, will have been duly executed, issued and delivered and, upon payment for the Securities by the Representatives to the Company, will constitute valid and legally binding obligations of the Subsidiary Guarantors entitled to the benefits of the Indenture; the Indenture has been duly authorized by the Company and each Subsidiary Guarantor, and the Indenture has been duly executed and delivered by the Company and each Subsidiary Guarantor and constitutes a valid and legally binding instrument, enforceable against the Company and each Subsidiary Guarantor in accordance with its terms, except as the enforcement thereof may be limited by bankruptcy, insolvency, reorganization, fraudulent conveyances or transfer, moratorium or similar laws affecting creditors’ rights generally and subject to general principles of equity (regardless of whether enforceability is considered in a proceeding in equity or at law) and, with respect to the Company, to the provisions of the Currency Act (Canada) or to the usury provisions of the Criminal Code (Canada); the Indenture has been duly qualified under the Trust Indenture Act; no registration, filing or recording of the Indenture under the laws of Canada or any province thereof is necessary in order to preserve or protect the validity or enforceability of the Indenture or the Securities issued thereunder; and the Indenture conforms, and the Securities will conform, in all material respects to the descriptions thereof contained in the Disclosure Package and the Final Prospectus with respect to the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The Company and each Subsidiary Guarantor is not and, after giving effect to the offering and sale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the application of the proceeds as described in the Disclosure Package and the Final Prospectus under the heading “Use of Proceeds,”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an “investment company” as defined in the Investment Company Act of 1940, as amended, and the rules and regulations of 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Governmental Authorization and Absence of Further Requirements</w:t>
      </w:r>
      <w:r>
        <w:rPr>
          <w:rFonts w:ascii="Times New Roman" w:cs="Times New Roman" w:eastAsia="Times New Roman" w:hAnsi="Times New Roman"/>
          <w:sz w:val="18"/>
          <w:szCs w:val="18"/>
          <w:color w:val="auto"/>
        </w:rPr>
        <w:t>. No Governmental Authorization is required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herein, except such as have been obtained under the Act and the Trust Indenture Act and such as may be required under the blue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 laws of any jurisdiction in connection with the purchase and distribution of the Securities by the Underwriters in the manner contemplated herein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Disclosure Package and the Final Prospectus; except as set forth in or contemplated in the Disclosure Package and the Final Prospectus,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possess all licenses, certificates, permits and other authorizations issued by the appropriate foreign, federal, provincial,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municipal or local regulatory authorities necessary to conduct their respective businesses except where the failure to possess such license, certificate, permit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authorization would not, individually or in the aggregate, reasonably be expected to have a Material Adverse Effect, and neither the Company 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subsidiary has received any notice of proceedings relating to the revocation or modification of any such license, certificate, authorization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 which, individually or in the aggregate, if the subject of an unfavorable decision, ruling or finding, would reasonably be expected to have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Material Changes</w:t>
      </w:r>
      <w:r>
        <w:rPr>
          <w:rFonts w:ascii="Times New Roman" w:cs="Times New Roman" w:eastAsia="Times New Roman" w:hAnsi="Times New Roman"/>
          <w:sz w:val="18"/>
          <w:szCs w:val="18"/>
          <w:color w:val="auto"/>
        </w:rPr>
        <w:t>. Since the representative dates as of which information is given in the Registration Statement, the Disclosure Package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Final Prospectus, except as may otherwise be stated therein or contemplated thereby, there has been no material adverse change, actual 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the Company, pending, in the condition (financial or otherwise), earnings, business or properties of the Company and its subsidiaries,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whole, whether or not arising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 Default and Conflict Absence</w:t>
      </w:r>
      <w:r>
        <w:rPr>
          <w:rFonts w:ascii="Times New Roman" w:cs="Times New Roman" w:eastAsia="Times New Roman" w:hAnsi="Times New Roman"/>
          <w:sz w:val="18"/>
          <w:szCs w:val="18"/>
          <w:color w:val="auto"/>
        </w:rPr>
        <w:t>. Neither the issue and sale of the Securities nor the consummation of any other of the transactions herein contemplated will conflict with or result in a breach or violation of or imposition of any lien, charge or encumbrance upon any property or assets of the Company or any of its Significant Subsidiaries pursuant to, (i) the articles or bylaws of the Company or the articles or certificate of incorporation or formation, as applicable, or bylaws, limited partnership agreement or limited liability company agreement, as applicable, of any of its Significant Subsidiaries, (ii) the terms of any indenture, contract, lease, mortgage, deed of trust, note agreement, loan agreement or other agreement, obligation, condition, covenant or instrument to which the Company or any of its Significant Subsidiaries is a party or bound or to which its or their property is subject, or (iii) any statute, law, rule, regulation, judgment, order or decree applicable to the Company or any of its Significant Subsidiaries of any court, regulatory body, administrative agency, governmental body, arbitrator or other authority having jurisdiction over the Company or any of its Significant Subsidiaries or any of its or their properties, except, in the case of (ii) or (iii), such breaches, violations, liens, charges or encumbrances as would not, individually or in the aggregate, reasonably be expected to have a Material Adverse Effect. Neither the Company nor any Significant Subsidiary is in violation or default of (i) any provision of its articles, bylaws, certificate of incorporation or formation, limited partnership agreement or limited liability company agreement, as applicable,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Significant Subsidiary or any of its properties, as applicable, except, in the case of (ii) or (iii) such violation or default as would not, individually or in the aggregate, reasonably be expected to have a Material Adverse Effect;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consolidated historical financial statements of the Company incorporated by reference in the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the Final Prospectus and the Registration Statement present fairly in all material respects the financial condition, results of operations and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of the Company as of the dates and for the periods indicated, comply as to form with the applicable accounting requirements of the Act and Alberta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and have been prepared in conformity with generally accepted accounting principles in the United States, in each case, applied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basis throughout the periods involved (except as otherwise noted therein). Any selected financial data set forth in the Disclosure Package,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Prospectus and the Registration Statement fairly present, on the basis stated under such caption in the Disclosure Package, the Final Prospectus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Statement, the information included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Proceedings Absence</w:t>
      </w:r>
      <w:r>
        <w:rPr>
          <w:rFonts w:ascii="Times New Roman" w:cs="Times New Roman" w:eastAsia="Times New Roman" w:hAnsi="Times New Roman"/>
          <w:sz w:val="18"/>
          <w:szCs w:val="18"/>
          <w:color w:val="auto"/>
        </w:rPr>
        <w:t>. Except as set forth in or contemplated in the Disclosure Package and the Final Prospectus, no action, suit or proceeding by or before any court or Governmental Authority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Ownership of Property</w:t>
      </w:r>
      <w:r>
        <w:rPr>
          <w:rFonts w:ascii="Times New Roman" w:cs="Times New Roman" w:eastAsia="Times New Roman" w:hAnsi="Times New Roman"/>
          <w:sz w:val="18"/>
          <w:szCs w:val="18"/>
          <w:color w:val="auto"/>
        </w:rPr>
        <w:t>. Each of the Company and each of its subsidiaries owns or leases all such properties as are necessary to the conduct of its operations as presently conducted, except such as would not, individually or in the aggregate, constitute a Material Adverse Effect;  </w:t>
      </w:r>
    </w:p>
    <w:p>
      <w:pPr>
        <w:spacing w:after="0" w:line="20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Independent Auditor</w:t>
      </w:r>
      <w:r>
        <w:rPr>
          <w:rFonts w:ascii="Times New Roman" w:cs="Times New Roman" w:eastAsia="Times New Roman" w:hAnsi="Times New Roman"/>
          <w:sz w:val="18"/>
          <w:szCs w:val="18"/>
          <w:color w:val="auto"/>
        </w:rPr>
        <w:t>. PricewaterhouseCoopers LLP, Calgary, Canada, who have audited certain financial statements of the Company and its consolidated subsidiaries and delivered their report with respect to the audited consolidated financial statements incorporated by reference in the Disclosure Package and the Final Prospectus, are independent chartered accountants with respect to the Company within the meaning of the Act and the applicable published rules and regulations thereunder adopted by the Commission and the Public Company Accounting Oversight Board of the United States;  </w:t>
      </w:r>
    </w:p>
    <w:p>
      <w:pPr>
        <w:spacing w:after="0" w:line="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as set forth in or contemplated in the Disclosure Package and the Final Prospectus, (i) (A) there has been no security breach or other compromise of or relating to any of the Company’s or any of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and (B) the Company and its subsidiaries have not been notified of, and have no knowledge of any event or condition that would reasonably be expected to result in, any security breach or other compromise to their IT Systems and Data, except as would not, in the case of this clause (i), individually or in the aggregate, reasonably be expected to result in a Material Adverse Effect;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reasonably be expected to result in a Material Adverse Effect; and (iii) the Company and its subsidiaries have implemented backup and disaster recovery technology reasonably consistent in all material respects with industry standards and practices;  </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Market Stabilization</w:t>
      </w:r>
      <w:r>
        <w:rPr>
          <w:rFonts w:ascii="Times New Roman" w:cs="Times New Roman" w:eastAsia="Times New Roman" w:hAnsi="Times New Roman"/>
          <w:sz w:val="18"/>
          <w:szCs w:val="18"/>
          <w:color w:val="auto"/>
        </w:rPr>
        <w:t>. The Company has not taken, directly or indirectly, any action designed to or that would constitute or that might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cause or result in, under the Exchange Act or otherwise, stabilization or manipulation of the price of any security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facilitate the sale or resale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Environmental Law Compliance</w:t>
      </w:r>
      <w:r>
        <w:rPr>
          <w:rFonts w:ascii="Times New Roman" w:cs="Times New Roman" w:eastAsia="Times New Roman" w:hAnsi="Times New Roman"/>
          <w:sz w:val="18"/>
          <w:szCs w:val="18"/>
          <w:color w:val="auto"/>
        </w:rPr>
        <w:t>. Except as set forth in or contemplated in the Disclosure Package and the Final Prospectus, the Company and its subsidiaries (i) are in substantial compliance with Environmental Laws, (ii) have received and are in substantial compliance with all permits, licenses or other approvals required of them under applicable Environmental Laws to conduct their respective businesses and (iii) have not received notice from a governmental agency or any written notice from a third party under the color of Environmental Law of any actual or potential liability for the investigation or remediation of any disposal or release of hazardous or toxic substances or wastes, pollutants or contaminants, or regarding any actual or potential violation of Environmental Laws, except where such non-compliance with Environmental Laws, failure to receive required permits, licenses or other approvals, or liability would not, individually or in the aggregate, be reasonably expected to have a Material Adverse Effect;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Compliance with Money Laundering Laws.</w:t>
      </w:r>
      <w:r>
        <w:rPr>
          <w:rFonts w:ascii="Times New Roman" w:cs="Times New Roman" w:eastAsia="Times New Roman" w:hAnsi="Times New Roman"/>
          <w:sz w:val="18"/>
          <w:szCs w:val="18"/>
          <w:color w:val="auto"/>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and the rules and regulations thereunder and any related or similar rules, regulations or guidelines, issued, administered or enforced by any government agency in jurisdictions where the Company and its subsidiaries conduct business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 arbitrator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subsidiaries with respect to the Money Laundering Laws is pending or, to the knowledge of the Company, threatened;  </w:t>
      </w:r>
    </w:p>
    <w:p>
      <w:pPr>
        <w:spacing w:after="0" w:line="208"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7"/>
          <w:szCs w:val="17"/>
          <w:color w:val="auto"/>
        </w:rPr>
        <w:t>(u)          </w:t>
      </w:r>
      <w:r>
        <w:rPr>
          <w:rFonts w:ascii="Times New Roman" w:cs="Times New Roman" w:eastAsia="Times New Roman" w:hAnsi="Times New Roman"/>
          <w:sz w:val="17"/>
          <w:szCs w:val="17"/>
          <w:u w:val="single" w:color="auto"/>
          <w:color w:val="auto"/>
        </w:rPr>
        <w:t>  No Unlawful Payments</w:t>
      </w:r>
      <w:r>
        <w:rPr>
          <w:rFonts w:ascii="Times New Roman" w:cs="Times New Roman" w:eastAsia="Times New Roman" w:hAnsi="Times New Roman"/>
          <w:sz w:val="17"/>
          <w:szCs w:val="17"/>
          <w:color w:val="auto"/>
        </w:rPr>
        <w:t>. Neither the Company nor any of its subsidiaries nor, to the knowledge of the Company, any director, officer, agent, employee or other affiliate of the Company or any of its subsidiaries has taken any action on behalf of the Company or any of its subsidiaries, directly or indirectly, that would result in a violation by such persons of the Foreign Corrupt Practices Act of 1977, as amended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the UK Bribery Act 2010 or the Corruption of Foreign Public Officials Act (Canada), and the rules and regulations promulgated thereunder,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their affiliates have conducted their businesses in compliance with the FCPA, the UK Bribery Act 2010 and the Corruption of Foreign Public Officials Act (Canada) and the rules and regulations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No Conflicts with Sanctions Laws</w:t>
      </w:r>
      <w:r>
        <w:rPr>
          <w:rFonts w:ascii="Times New Roman" w:cs="Times New Roman" w:eastAsia="Times New Roman" w:hAnsi="Times New Roman"/>
          <w:sz w:val="17"/>
          <w:szCs w:val="17"/>
          <w:color w:val="auto"/>
        </w:rPr>
        <w:t>. None of the Company, any of its subsidiaries or, to the knowledge of the Company, any director,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employee or affiliate of the Company or any of its subsidiaries is currently the subject or the target of any sanctions administered or enforced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 including, without limitation, the Office of Foreign Assets Control of the U.S. Department of the Treasury, the United Nations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and none of the Company, nor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is located or organized in a country or territory that is the subject or target of Sanctions (including, without limitation, Cuba, Iran,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the Crimea region of Ukraine, the so-called Donetsk People’s Republic, the so-called Luhansk People’s Republic and the non-government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areas of the Zaporizhzhia and Kherson Regions of Ukraine) and the Company will not directly or indirectly use the proceeds of the offering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hereunder, or lend, contribute or otherwise make available such proceeds to any subsidiary, joint venture partner or other person or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 fund any activities of or business with any person, or in any country or territory, that, at the time of such funding, is the subject of Sanctions or (ii)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manner that will result in a violation by any person (including any person participating in the transaction, whether as underwriter, advisor,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or otherwise) of Sanctions. The Company and each of its subsidiaries have not knowingly engaged in for the past ten years, are not now knowingly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engaged in, and will not knowingly engage in, any dealings or transactions with any individual or entity, or in any country or territory, that at the time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dealing or transaction, is or was the subject or target of Sanctions;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Accounting and Disclosure Controls</w:t>
      </w:r>
      <w:r>
        <w:rPr>
          <w:rFonts w:ascii="Times New Roman" w:cs="Times New Roman" w:eastAsia="Times New Roman" w:hAnsi="Times New Roman"/>
          <w:sz w:val="18"/>
          <w:szCs w:val="18"/>
          <w:color w:val="auto"/>
        </w:rPr>
        <w:t>. The Company and its subsidiaries maintain “internal control over financial reporting” (as such term is defined in Rule 13a-15(f) under the Exchange Act); such internal control over financial reporting and procedures is effective and the Company and its subsidiaries are not aware of any material weakness in their internal control over financial reporting; the Company and its subsidiaries maintain “disclosure controls and procedures” (as such term is defined in Rule 13a-15(e) under the Exchange Act); such disclosure controls and procedures are effective; and there is and has been no failure on the part of the Company and, to the Company’s knowledge, any of the Company’s directors or officers, in their capacities as such, to comply with applicable provisions of the Sarbanes-Oxley Act of 2002 and the rules and regulations promulgated in connection therewith, including Section 402 relating to loans and Sections 302 and 906 relating to certifications.  </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Purchase and Sale</w:t>
      </w:r>
      <w:r>
        <w:rPr>
          <w:rFonts w:ascii="Times New Roman" w:cs="Times New Roman" w:eastAsia="Times New Roman" w:hAnsi="Times New Roman"/>
          <w:sz w:val="18"/>
          <w:szCs w:val="18"/>
          <w:color w:val="auto"/>
        </w:rPr>
        <w:t>.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the Securities set forth opposite such Underwriter’s name in Schedule II hereto.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Delivery and 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Delivery of and payment for the Securities shall be made on the date and at the time specified in Schedule I hereto or at such time on such later date not more than three Business Days after the foregoing date as the Representatives and the Company shall mutually agree,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As compensation for the services rendered by the Underwriters to the Company in respect of the issuance and sale of the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the Closing Date will pay to the Representatives for the respective accounts of the several Underwriters the discount specified in Schedule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Final Prospectus. In order to comply with certain exemptions from the prospectus requirements of the Securities Act (Alberta), the Underwriters hereby agree that they shall not directly or indirectly offer to sell or resell, or sell or resell, any Securities to residents of Canada.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agrees with the several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            Prior to the termination of the offering of the Securities, the Company will not file any amendment or supplement to the Registration Statement or Basic Prospectus (including the Final Prospectus or any Preliminary Prospectus Supplement) unless the Company has furnished a copy to the Representatives for their review prior to filing and will not file any such proposed amendment or supplement to which the Representatives reasonably object. Subject to the foregoing sentence, the Company will prepare the Final Prospectus setting forth the principal amount of Securities covered thereby, the terms not otherwise specified in the Basic Prospectus pursuant to which the Securities are being issued, the names of the Underwriters participating in the offering and the principal amount of Securities which each severally has agreed to purchase, the names of the Underwriters acting as co-managers in connection with the offering, the price at which the Securities are to be purchased by the Underwriters from the Company, the initial public offering price, the selling concession and reallowance, if any, in a form approved by the Representatives and shall file such Final Prospectus with the Commission within the time periods specified by Rule 424(b) under the Act. The Company will promptly file all reports and other documents required to be filed by it with the Alberta Securities Commission pursuant to Alberta Securities Laws, and the Commission pursuant to Section 13(a), 13(c) or 15(d) of the Exchange Act for so long as the delivery of a prospectus is required (including in circumstances where such requirement may be satisfied pursuant to Rule 172 under the Act) in connection with the offering or sale of the Securities, and during such same period will advise the Representatives, promptly after it receives notice thereof, (1) when any amendment to the Registration Statement has been filed or becomes effective or any supplement to the Basic Prospectus or any amended Final Prospectus has been filed with the Commission, (2) of the issuance by the Alberta Securities Commission or the Commission of any stop order or of any order preventing or suspending the use of any prospectus relating to the Securities, (3) of the suspension of the qualification of such Securities for offering or sale in any jurisdiction, (4) of the initiation or threatening, to the knowledge of the Company, of any proceeding for any such purpose, or (5) of any request by the Commission for the amending or supplementing of the Registration Statement, the Final Prospectus or for additional information relating to the Securities; and the Company will use its commercially reasonable best efforts to prevent the issuance of any such stop order or any such order preventing or suspending the use of any prospectus relating to the Securities or the suspension of any such qualification and, in the event of the issuance of any such stop order or of any such order preventing or suspending the use of any prospectus relating to the Securities or suspending any such qualification, to use its commercially reasonable best efforts to obtain the withdrawal of such order as soon as possible;  </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Notwithstanding the provisions of paragraph (a) above, if, at any time when a prospectus relating to the Securities is required to be delivered under the Act (including in circumstances where such requirement may be satisfied pursuant to Rule 172 under the Act), any event occurs of which the Company becomes aware and as a result of which the Final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or supplement the Final Prospectus to comply with the Act or the Exchange Act, or the respective rules thereunder, the Company will (i) promptly notify the Representatives of such event, (ii) promptly prepare and file with the Commission an amendment or supplement which will correct such statement or omission or effect such compliance, and (iii) expeditiously supply any supplemented Final Prospectus to the Representatives in such quantities as they may reasonably request;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As soon as practicable but not later than 18 months after the date of the effectiveness of the Registration Statement, the Company will make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available to its security holders and to the Representatives an earnings statement or statements of the Company and its subsidiaries which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 the provisions of Section 11(a) of the Act and Rule 158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Company will furnish to the Representatives and counsel for the Underwriters, without charge, copies of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exhibits thereto) and to each other Underwriter a copy of the Registration Statement (without exhibits thereto) and, so long as delivery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by an Underwriter or dealer may be required by the Act (including in circumstances where such requirement may be satisfied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172 under the Act), as many copies of each Preliminary Prospectus Supplement, Issuer Free Writing Prospectus, Final Prospectus and any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as the Representatives may reasonably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(e)            The Company will arrange, if necessary, for the qualification of the Securities for sale under the laws of the states of the United States and such other jurisdictions as the Representatives, after consultation with and approval from the Company, may designate, will maintain such qualifications in effect so long as required for the distribution of the Securities and will pay any fee of the Financial Industry Regulatory Authority, Inc., in connection with its review of the offering; provided that in no event shall the Company or any Subsidiary Guarantor be obligated to qualify to do business or become subject to taxation in any jurisdiction where it is not now so qualified or so subject or to take any action that would subject it to service of process in suits, other than those arising out of the offering or sale of the Securities, in any jurisdiction where it is not now so subject;  </w:t>
      </w:r>
    </w:p>
    <w:p>
      <w:pPr>
        <w:spacing w:after="0" w:line="2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             The Company will not, without the prior written consent of the Representatives, offer, sell, contract to sell or otherwise dispose of or hedge, directly or indirectly, including the filing (or participation in the filing) of a registration statement with the Commission in respect of, any U.S. dollar debt securities which are substantially similar to the Securities issued or guaranteed by the Company (other than the Securities) or publicly announce an intention to effect any such transaction until the Business Day set forth in Schedule I hereto;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The Company will use the net proceeds received by it from the sale of any Securities in the manner specified in the Disclosure Package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Prospectus under the caption “</w:t>
      </w: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(g.1)         The Company will prepare a final term sheet containing a description of the Securities in the form set forth in Annex G hereto and will file such term sheet pursuant to Rule 433(d) under the Act within the time required by such rule (the “</w:t>
      </w:r>
      <w:r>
        <w:rPr>
          <w:rFonts w:ascii="Times New Roman" w:cs="Times New Roman" w:eastAsia="Times New Roman" w:hAnsi="Times New Roman"/>
          <w:sz w:val="18"/>
          <w:szCs w:val="18"/>
          <w:b w:val="1"/>
          <w:bCs w:val="1"/>
          <w:color w:val="auto"/>
        </w:rPr>
        <w:t>Final Term Sheet</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jc w:val="both"/>
        <w:ind w:right="240" w:firstLine="648"/>
        <w:spacing w:after="0" w:line="255" w:lineRule="auto"/>
        <w:rPr>
          <w:sz w:val="20"/>
          <w:szCs w:val="20"/>
          <w:color w:val="auto"/>
        </w:rPr>
      </w:pPr>
      <w:r>
        <w:rPr>
          <w:rFonts w:ascii="Times New Roman" w:cs="Times New Roman" w:eastAsia="Times New Roman" w:hAnsi="Times New Roman"/>
          <w:sz w:val="18"/>
          <w:szCs w:val="18"/>
          <w:color w:val="auto"/>
        </w:rPr>
        <w:t>(h)            In connection with each offering of Securities, the Company will take such steps as it deems necessary to ascertain promptly whether the Final Prospectus prepared in connection with such offering and transmitted for filing pursuant to Rule 424(b) under the Act was received for filing by the Commission, and, in the event that such prospectus was not received for filing, it will promptly file such prospectus not then received for filing;  </w:t>
      </w:r>
    </w:p>
    <w:p>
      <w:pPr>
        <w:spacing w:after="0" w:line="204"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(i)             During the period in which the Underwriters are distributing the Securities,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  </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(j)             The Company represents that it has not made, and agrees that, unless it obtains the prior written consent of the Representatives, it will not make, any offer relating to the Securities that constitutes or would constitute an Issuer Free Writing Prospectus or that otherwise constitutes or would constitute a “free writing prospectus” (as defined in Rule 405 of the Act) required to be filed by the Company with the Commission or retained by the Company under Rule 433 of the Act; provided that the prior written consent of the Representatives shall be deemed to have been given in respect of the Free Writing Prospectuses identified in Annex G hereto. Any such free writing prospectus consented to by the Representatives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agrees that (i) it has treated and will treat, as the case may be, each Permitted Free Writing Prospectus as an Issuer Free Writing Prospectus, and (ii) has complied and will comply, as the case may be, with the requirements of Rules 164 and 433 of the Act applicable to any Permitted Free Writing Prospectus, including in respect of timely filing with the Commission, legending and record keeping. The Company consents to the use by any Underwriter of a free writing prospectus that (a) is not an Issuer Free Writing Prospectus as defined in Rule 433, and (b) contains only (i) information describing the preliminary terms of the Securities or their offering, (ii) information permitted by Rule 134 under the Act or (iii) information that describes the final terms of the Securities or their offering and that is included in the Final Term Sheet.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Company and each of the Subsidiary Guarantors will pay or cause to be paid all reasonable expenses incident to the performance of its obligations under this Agreement, including: (i) the fees, disbursements and expenses of the Company’s counsel and the Company’s accountants in connection with the registration and delivery of the Securities under the Act and all other fees or expenses in connection with the preparation and filing of the Registration Statement, the Basic Prospectus, the Final Prospectus, any free writing prospectus prepared by or on behalf of, used by, or referred to by the Company and amendments and supplements to any of the foregoing, and all printing costs associated therewith, (ii) all costs and expenses related to the transfer and delivery of the Securities to the Underwriters, (iii) any fees charged by the rating agencies for the rating of the Securities, (iv) the cost of the preparation, issuance and delivery of the Securities, (v) the costs and charges of any trustee, transfer agent, registrar or depositary and (vi) all other costs and expenses incident to the performance of the obligations of the Company and the Subsidiary Guarantors hereunder for which provision is not otherwise made in this Section. It is understood, however, that, except as provided in this Agreement, the Underwriters will pay all of their own costs and expenses, including the fees of their counsel, and transfer taxes on resales of any of the Securities by them.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60" w:firstLine="648"/>
        <w:spacing w:after="0" w:line="265"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Conditions to the Obligations of the Underwriters</w:t>
      </w:r>
      <w:r>
        <w:rPr>
          <w:rFonts w:ascii="Times New Roman" w:cs="Times New Roman" w:eastAsia="Times New Roman" w:hAnsi="Times New Roman"/>
          <w:sz w:val="17"/>
          <w:szCs w:val="17"/>
          <w:color w:val="auto"/>
        </w:rPr>
        <w:t>. The obligations of the Underwriters to purchase the Securities shall be subject to the accuracy of the representations and warranties on the part of the Company and each Subsidiary Guarantor contained herein as of the Execution Time and the Closing Date, to the accuracy of the statements of the Company and each Subsidiary Guarantor made in any certificates pursuant to the provisions of this Section, to the performance by the Company and each Subsidiary Guarantor of its obligations hereunder and to the following additional conditions: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            The Final Prospectus shall have been filed with the Commission pursuant to Rule 424(b) under the Act within the applicable time period prescribed for such filing and in accordance with Section 5(a) hereof; no stop order suspending the effectiveness of the Registration Statement or any part thereof shall have been issued and no order preventing or suspending the use of any prospectus relating to the Securities shall have been issued and no proceeding for any such purpose shall have been initiated or threatened by the Alberta Securities Commission or the Commission;  </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            The Company shall have requested and caused Sullivan &amp; Cromwell LLP, U.S. counsel for the Company, to have furnished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Representatives their opinion and letter, dated the Closing Date and addressed to the Representatives, substantially in the form attached hereto as Annex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(c)            The Company shall have requested and caused McCarthy Tétrault LLP, Canadian counsel for the Company, to have furnished to the Representatives their opinion, dated the Closing Date and addressed to the Representatives, with respect to the laws of the Province of Alberta and the federal laws of Canada applicable therein, substantially in the form attached hereto as Annex C.  </w:t>
      </w:r>
    </w:p>
    <w:p>
      <w:pPr>
        <w:spacing w:after="0" w:line="204"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(d)            The Representatives shall have received from Baker Botts L.L.P., U.S. counsel for the Underwriters, such opinion or opinions, dated the Closing Date and addressed to the Representatives, with respect to the issuance and sale of the Securities, the Indenture, the Registration Statement, the Final Prospectus (together with any supplement thereto) and other related matters as the Representatives may reasonably require, and the Company shall have furnished to such counsel such documents as they request for the purpose of enabling them to pass upon such matters;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Representatives shall have received from Osler, Hoskin &amp; Harcourt LLP, Canadian counsel for the Underwriters, such opinion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opinions, dated the Closing Date and addressed to the Representatives, with respect to the issuance and sale of the Securities, the Indenture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matters as the Representatives may reasonably require, and the Company shall have furnished to such counsel such documents as they request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enabling them to pass upon such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(f)             The Representatives shall have received from the Vice President, Treasury, Risk &amp; Pensions of the Company a certificate, dated the Closing Date and addressed to the Representatives, substantially in the form attached hereto as Annex 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The Representatives shall have received from Vinson &amp; Elkins LLP, U.S. regulatory counsel to the Company, dated the Closing Date,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substantially in the form attached hereto as Annex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(h)            The Company shall have furnished to the Representatives a certificate of the Company, signed by either one of its Executive Vice President &amp; Chief Financial Officer or Vice President, Treasury, Risk &amp; Pensions, dated the Closing Date, to the effect that the signer of such certificate has reviewed the Registration Statement, the Disclosure Package, the Final Prospectus, any supplements to the Final Prospectus, and this Agreement, and to the best knowledge of such signer, after due investigation: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right="20" w:hanging="316"/>
        <w:spacing w:after="0" w:line="250"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and the Subsidiary Guarantors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right="200" w:hanging="316"/>
        <w:spacing w:after="0" w:line="250"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stop order preventing or suspending the use of any prospectus relating to the Securities has been issued and no proceedings for that purpose have been instituted or, to the Company’s knowledge, threatened by the Alberta Securities Commission or the Commission;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right="40" w:hanging="316"/>
        <w:spacing w:after="0" w:line="250"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or incorporated by reference in the Disclosure Package and the Final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Final Prospectus (exclusive of any supplement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Representatives shall have received from PricewaterhouseCoopers LLP, the Company’s independent auditor, a letter or letters dated at the Execution Time and at the Closing Date, in form and substance reasonably satisfactory to the Representatives, together with signed or reproduced copies of such letter or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Disclosure Package and the Final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(k)            Subsequent to the Execution Time or, if earlier, the dates as of which information is given in the Registration Statement (exclusive of any amendment thereto) and the Disclosure Package and the Final Prospectus (exclusive of any supplement thereto), there shall not have been (i) any change or decrease specified in the letter or letters referred to in paragraph (i)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the effect of which, in any case referred to in clause (i) or (ii) above, is, in the sole judgment of the Representatives, so material and adverse as to make it impracticable or inadvisable to proceed with the offering or delivery of the Securities as contemplated by the Registration Statement (exclusive of any amendment thereto), the Disclosure Package and the Final Prospectus (exclusive of any supplement thereto);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Subsequent to the Execution Time, there shall not have been any decrease in the rating of any of the Company’s debt securities by S&amp;P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Ratings, Moody’s Investors Service, DBRS Limited or Fitch Ratings, Inc. and no such rating service shall have publicly announced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informed the Company that it has under surveillance or review, with possible negative implications, its rating or outlook of the Company or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securities or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Prior to the Closing Date, the Company and each Subsidiary Guarantor shall have furnished to the Representatives such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certificates and documents as the Representatives may reasonably request and as is customary in offerings of securities similar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when and as provided in this Agreement, or if any of the opinions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certificates mentioned above or elsewhere in this Agreement shall not be reasonably satisfactory in form and substance to the Representatives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for the Underwriters, this Agreement and all obligations of the Underwriters hereunder may be canceled at, or at any time 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Representatives upon notice of cancellation to the Company in writing (including by email) or by telephone or facsimile 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by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Sullivan &amp; Cromwell LLP, Attention: Catherine 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Clarkin, 125 Broad Street, New York, New York 10004 on the Closing Date (or such other date as provided in this Section 7) or such other place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shall so instruct.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Underwriters set forth in Section 7 hereof is not satisfied or because of any refusal, inability or failure on the part of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any agreement herein or comply with any provision hereof other than by reason of a default by any of the Underwriters (but excluding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pursuant to Section 11 hereof), the Company will reimburse the Underwriters severally through the Representatives on demand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out-of-pocket expenses (including reasonable fees and disbursements of counsel) that shall have been incurred by them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purchase and sale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            The Company and each Subsidiary Guarantor, jointly and severally, agree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any Preliminary Prospectus Supplement, the Final Prospectus or any Issuer Free Writing Prospectus, or in all cases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and the Subsidiary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and the Subsidiary Guarantors may otherwise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Each Underwriter severally and not jointly agrees to indemnify and hold harmless the Company, each Subsidiary Guarantor, each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directors, each officer of the Company or the Subsidiary Guarantors who signs the Registration Statement, and each person who controls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 Subsidiary Guarantor within the meaning of either the Act or the Exchange Act, to the same extent as the foregoing indemnity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each Subsidiary Guarantor to each Underwriter, but only with reference to written information relating to such Underwriter furnished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by or on behalf of such Underwriter through the Representatives specifically for inclusion in the documents referred to in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This indemnity agreement will be in addition to any liability which any Underwriter may otherwise have. The Company acknowledges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 set forth in (a) the last paragraph of the cover page regarding delivery of the Securities, (b) under the heading “The Offering”, the third and fourth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sentences in the right column adjacent to “Lack of Public Market for the Notes”, (c) the second sentence within the risk factor “We cannot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assurance that an active trading market will develop for any series of the Notes” and (d) under the heading “Underwriting”, (i) the names listed in the 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second paragraph of the text, (ii) the fourth paragraph of text concerning concessions, (iii) the fifth and sixth paragraphs of text concerning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stabilization and short positions, (iv) the third and fourth sentences in the seventh paragraph of text concerning market making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 the fifteenth paragraph of text concerning electronic prospectuses, in any Preliminary Prospectus Supplement and the Final Prospectus,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constitute the only information furnished in writing by or on behalf of the several Underwriters for inclusion in any Preliminary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or the Final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In the event that the indemnity provided in paragraph (a) or (b) of this Section 9 is unavailable to or insufficient to hold harmless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party for any reason, the Company, the Subsidiary Guarantors and the Underwriters severally agree to contribute to the aggregate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damages and liabilities (including legal or other expenses reasonably incurred in connection with investigating or defending same)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the Company, the Subsidiary Guarantors and one or more of the Underwriters may be subject in such proportion as is appropriate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relative benefits received by the Company on the one hand and by the Underwriters on the other from the offering of the Securities;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that in no case shall any Underwriter (except as may be provided in any agreement among underwriters relating to the offering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responsible for any amount in excess of the underwriting discount or commission applicable to the Securities purchased by such Underwriter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allocation provided by the immediately preceding sentence is unavailable for any reason, the Company, the Subsidiary Guarantors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severally shall contribute in such proportion as is appropriate to reflect not only such relative benefits but also the relative fault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the one hand and of the Underwriters on the other in connection with the statements or omissions which resulted in such Losses as well as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relevant equitable considerations. Benefits received by the Company shall be deemed to be equal to the total net proceeds from the offering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deducting expenses) received by it, and benefits received by the Underwriters shall be deemed to be equal to the total underwriting discounts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in each case as set forth on the cover page of the Final Prospectus. Relative fault shall be determined by reference to, among other things,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any untrue or any alleged untrue statement of a material fact or the omission or alleged omission to state a material fact relates to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the Company on the one hand or the Underwriters on the other, the intent of the parties and their relative knowledge, access to information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opportunity to correct or prevent such untrue statement or omission. The Company, the Subsidiary Guarantors and the Underwriters agree that it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just and equitable if contribution were determined by pro rata allocation or any other method of allocation which does not take account of the equitable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 referred to above. Notwithstanding the provisions of this paragraph (d), no person guilty of fraudulent misrepresentation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meaning of Section 11(f) of the Act) shall be entitled to contribution from any person who was not guilty of such fraudulent misrepresentation. For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Section 9, each person who controls an Underwriter within the meaning of either the Act or the Exchange Act and each director, officer,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agent of an Underwriter shall have the same rights to contribution as such Underwriter, and each person who controls the Company within the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either the Act or the Exchange Act, each officer of the Company or a Subsidiary Guarantor who shall have signed the Registration Statement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Company or a Subsidiary Guarantor shall have the same rights to contribution as the Company and the Subsidiary Guarantors, subject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to the applicable terms and conditions of this paragraph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 by an Underwriter</w:t>
      </w:r>
      <w:r>
        <w:rPr>
          <w:rFonts w:ascii="Times New Roman" w:cs="Times New Roman" w:eastAsia="Times New Roman" w:hAnsi="Times New Roman"/>
          <w:sz w:val="18"/>
          <w:szCs w:val="18"/>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and the aggregate principal amount of Securities which the defaulting Underwriter or Underwriters agreed but failed to purchase shall not exceed 10% of the aggregate principal amount of Securities set forth in Schedule II hereto, the non-defaulting Underwriters shall be obligated severally to take up and pay for (in the respective proportions which the principal amount of Securities set forth opposite their names in Schedule II hereto bears to the aggregate principal amount of Securities set forth opposite the names of all the non-defaulting Underwriters) the Securities which the defaulting Underwriter or Underwriters agreed but failed to purchase.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and the aggregate principal amount of Securities which the defaulting Underwriter or Underwriters agreed but failed to purchase shall exceed 10% of the aggregate principal amount of Securities set forth in Schedule II hereto, and arrangements satisfactory to the Representatives and the Company for the purchase of such Securities by one or more of the non-defaulting Underwriters or other party or parties approved by the Representatives and the Company are not made within 36 hours after such default, this Agreement will terminate without liability to any non-defaulting Underwriter or the Company. In the event of a default by any Underwriter as set forth in this Section 10, the Closing Date shall be postponed for such period, not exceeding seven Business Days, as the Representatives shall determine in order that the required changes in the Registration Statement, the Disclosure Package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prior to delivery of and payment for the Securities, if at any time prior to such time, (i) trading of the Company’s common stock shall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suspended by the Commission or the New York Stock Exchange or the Toronto Stock Exchange or trading in securities generally on the New York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or the Toronto Stock Exchange shall have been suspended or limited or minimum prices shall have been established on any of such Exchanges,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 banking moratorium shall have been declared either by authorities in the United States, Canada or New York State, (iii) a change or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a prospective change in Canadian taxation affecting the Securities or the transfer thereof or the imposition of exchange controls by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or Canada, or (iv) there shall have occurred any outbreak or escalation of hostilities involving Canada or the United States, declaration by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or Canada of a national emergency or war, or other calamity or crisis, the effect of which on financial markets in the United States or Canada is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make it, in the sole judgment of the Representatives, impracticable or inadvisable to proceed with the offering, sale or delivery of the Securities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the Disclosure Package and the Final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No Advisory or Fiduciary Responsibility</w:t>
      </w:r>
      <w:r>
        <w:rPr>
          <w:rFonts w:ascii="Times New Roman" w:cs="Times New Roman" w:eastAsia="Times New Roman" w:hAnsi="Times New Roman"/>
          <w:sz w:val="18"/>
          <w:szCs w:val="18"/>
          <w:color w:val="auto"/>
        </w:rPr>
        <w:t>. The Company and each Subsidiary Guarantor acknowledges and agrees that: (i) the purchase and sale of the Securities pursuant to this Agreement, including the determination of the public offering price of the Securities and any related discounts and commissions, is an arm’s-length commercial transaction between the Company and each Subsidiary Guarantor, on the one hand, and the several Underwriters, on the other hand, and the Company and each Subsidiary Guarantor is capable of evaluating and understanding and understands and accepts the terms, risks and conditions of the transactions contemplated by this Agreement; (ii) in connection with the offer and sale of the Securities as contemplated hereby and the process leading to such offer and sale,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or any Subsidiary Guarantor with respect to the offer and sale of the Securities as contemplated hereby or the process leading thereto (irrespective of whether such Underwriter has advised or is currently advising the Company on other matters) and no Underwriter has any obligation to the Company or any Subsidiary Guarantor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the Subsidiary Guarantors and that the several Underwriters have no obligation to disclose to the Company or the Subsidiary Guarantors any of such interests by virtue of any advisory, agency or fiduciary relationship; and (v) the Underwriters have not provided any legal, accounting, regulatory or tax advice with respect to the offering contemplated hereby and the Company and each Subsidiary Guarantor has consulted its own legal, accounting, regulatory and tax advisors to the extent it deemed appropriate.  </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and the several Underwriters, or any of them, with respect to the subject matter hereof. The Company and each Subsidiary Guarantor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waives and releases, to the fullest extent permitted by law, any claims that the Company may have against the several Underwriters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alleged breach of fiduciary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Agreement of the Underwriters</w:t>
      </w:r>
      <w:r>
        <w:rPr>
          <w:rFonts w:ascii="Times New Roman" w:cs="Times New Roman" w:eastAsia="Times New Roman" w:hAnsi="Times New Roman"/>
          <w:sz w:val="18"/>
          <w:szCs w:val="18"/>
          <w:color w:val="auto"/>
        </w:rPr>
        <w:t>. Each Underwriter represents that it has not made, and agrees that, unless it obtains the prior written consent of the Company, it will not make, any offer relating to the Securities that constitutes or would constitute a “free writing prospectus” (as defined in Rule 405 of the Act) required to be filed with the Commission or retained under Rule 433 of the Act; provided that the prior written consent of the Company shall be deemed to have been given in respect of the Free Writing Prospectuses identified in Annex G hereto and in respect of the use by any Underwriter of a free writing prospectus that (a) is not an Issuer Free Writing Prospectus as defined in Rule 433, and (b) contains only (i) information describing the preliminary terms of the Securities or their offering, (ii) information permitted by Rule 134 under the Act or (iii) information that describes the final terms of the Securities or their offering and that is included in the Final Term Sheet. Any such free writing prospectus consented to by the Company is hereinafter referred to as an “Underwriter Permitted Free Writing Prospectus”. The Underwriters agree that they have complied and will comply, as the case may be, with the requirements of Rules 164 and 433 of the Act applicable to any Underwriter Permitted Free Writing Prospectus, including in respect of timely filing with the Commission, legending and record keeping.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11.3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the Subsidiary Guarantors or their respective officers and of the Underwriters set forth in or made pursuant to this Agreement will remain in full force and effect, regardless of any investigation made by or on behalf of any Underwriter or the Company, the Subsidiary Guarantors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140" w:firstLine="648"/>
        <w:spacing w:after="0" w:line="232"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communications hereunder will be in writing and effective only on receipt, and, if sent to the Representatives, will be mailed, delivered or e-mailed to Barclays Capital Inc., 745 Seventh Avenue, New York, New York, 10019, Attention: Syndicate Registration, Fax No.: (646) 834-8133; BofA Securities, Inc., 114 West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NY8-114-07-01, New York, New York 10036, Attention: High Grade Debt Capital Markets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Management/Legal, Fax No.: (212) 901-7881; Citigroup Global Markets Inc., 388 Greenwich Street, New York, New York 10013, Attention: General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Fax No.: (646) 291-1469; J.P. Morgan Securities LLC, 270 Park Avenue, New York, New York 10017, Attention: Investment Grade Syndicate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 Fax No.: (212) 634-6081 and confirmed to Douglas Getten, Baker Botts L.L.P., email: doug.getten@bakerbotts.com; or, if sent to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Guarantors, will be mailed, delivered or emailed to Enbridge Inc., Attention: Corporate Secretary (corporatesecretary@enbridge.com)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to it at 200, 425-1st Street S.W., Calgary, Alberta, T2P 3L8.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directors, employees, agents and controlling persons referred to in Section 9 hereof, and no other person will have any right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Submission to Jurisdiction; Agent for Service; Waiver of Immunities</w:t>
      </w:r>
      <w:r>
        <w:rPr>
          <w:rFonts w:ascii="Times New Roman" w:cs="Times New Roman" w:eastAsia="Times New Roman" w:hAnsi="Times New Roman"/>
          <w:sz w:val="18"/>
          <w:szCs w:val="18"/>
          <w:color w:val="auto"/>
        </w:rPr>
        <w:t>. The Company and each Subsidiary Guarantor irrevocably (i) agrees that any legal suit, action or proceeding against the Company brought by any Underwriter or by any person who controls any Underwriter arising out of or based upon this Agreement or the transactions contemplated thereby may be instituted in any federal or state court in the State of New York, Borough of Manhattan (each such court,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(ii) waives, to the fullest extent it may effectively do so, any objection which it may now or hereafter have to the laying of venue of any such proceeding and (iii) submits to the non-exclusive jurisdiction of such courts in any such suit, action or proceeding. The Company will promptly appoint Enbridge (U.S.) Inc., 915 North Eldridge Parkway, Suite 1100, Houston, Texas 77079, as its authorized agent (the “</w:t>
      </w:r>
      <w:r>
        <w:rPr>
          <w:rFonts w:ascii="Times New Roman" w:cs="Times New Roman" w:eastAsia="Times New Roman" w:hAnsi="Times New Roman"/>
          <w:sz w:val="18"/>
          <w:szCs w:val="18"/>
          <w:b w:val="1"/>
          <w:bCs w:val="1"/>
          <w:color w:val="auto"/>
        </w:rPr>
        <w:t>Authorized Agent</w:t>
      </w:r>
      <w:r>
        <w:rPr>
          <w:rFonts w:ascii="Times New Roman" w:cs="Times New Roman" w:eastAsia="Times New Roman" w:hAnsi="Times New Roman"/>
          <w:sz w:val="18"/>
          <w:szCs w:val="18"/>
          <w:color w:val="auto"/>
        </w:rPr>
        <w:t>”) upon whom process may be served in any such action arising out of or based on this Agreement or the transactions contemplated thereby which may be instituted in any New York Court by any Underwriter or by any person who controls any Underwriter, expressly consents to the jurisdiction of any such court in respect of any such action, and waives any other requirements of or objections to personal jurisdiction with respect thereto. Such appointment shall be irrevocable and in full force and effect so long as any Securities are outstanding.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  </w:t>
      </w:r>
    </w:p>
    <w:p>
      <w:pPr>
        <w:spacing w:after="0" w:line="210" w:lineRule="exact"/>
        <w:rPr>
          <w:sz w:val="20"/>
          <w:szCs w:val="20"/>
          <w:color w:val="auto"/>
        </w:rPr>
      </w:pPr>
    </w:p>
    <w:p>
      <w:pPr>
        <w:jc w:val="both"/>
        <w:ind w:right="400" w:firstLine="648"/>
        <w:spacing w:after="0" w:line="250" w:lineRule="auto"/>
        <w:rPr>
          <w:sz w:val="20"/>
          <w:szCs w:val="20"/>
          <w:color w:val="auto"/>
        </w:rPr>
      </w:pPr>
      <w:r>
        <w:rPr>
          <w:rFonts w:ascii="Times New Roman" w:cs="Times New Roman" w:eastAsia="Times New Roman" w:hAnsi="Times New Roman"/>
          <w:sz w:val="18"/>
          <w:szCs w:val="18"/>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it hereby irrevocably waives such immunity in respect of its obligations under the above-referenced documents, to the extent permitted by law.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15 shall survive any termination of this Agreement, in whole or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The obligation of the Company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  </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40" w:firstLine="648"/>
        <w:spacing w:after="0" w:line="265"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Applicable Law; Jury Waiver</w:t>
      </w:r>
      <w:r>
        <w:rPr>
          <w:rFonts w:ascii="Times New Roman" w:cs="Times New Roman" w:eastAsia="Times New Roman" w:hAnsi="Times New Roman"/>
          <w:sz w:val="17"/>
          <w:szCs w:val="17"/>
          <w:color w:val="auto"/>
        </w:rPr>
        <w:t>. THIS AGREEMENT WILL BE GOVERNED BY AND CONSTRUED IN ACCORDANCE WITH THE LAWS OF THE STATE OF NEW YORK APPLICABLE TO CONTRACTS MADE AND TO BE PERFORMED WITHIN THE STATE OF NEW YORK. THE COMPANY, EACH OF THE SUBSIDIARY GUARANTORS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from such Underwriter of this Agreement, and any interest and obligation in or under this Agreement, will be effective to the same extent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would be effective under the U.S. Special Resolution Regime if this Agreement, and any such interest and obligation, were governed by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or a state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 U.S. Special Resolution Regime, Default Rights under this Agreement that may be exercised against such Underwriter are permitted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to no greater extent than such Default Rights could be exercised under the U.S. Special Resolution Regime if this Agreement were governed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United States or a state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(c)            For purposes of this Section 18, (i) the term “</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(ii) the term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(A) a “covered entity” as that term is defined in, and interpreted in accordance with, 12 C.F.R. § 252.82(b); (B) a “covered bank” as that term is defined in, and interpreted in accordance with, 12 C.F.R. §</w:t>
      </w:r>
    </w:p>
    <w:p>
      <w:pPr>
        <w:spacing w:after="0" w:line="253" w:lineRule="auto"/>
        <w:rPr>
          <w:sz w:val="20"/>
          <w:szCs w:val="20"/>
          <w:color w:val="auto"/>
        </w:rPr>
      </w:pPr>
      <w:r>
        <w:rPr>
          <w:rFonts w:ascii="Times New Roman" w:cs="Times New Roman" w:eastAsia="Times New Roman" w:hAnsi="Times New Roman"/>
          <w:sz w:val="18"/>
          <w:szCs w:val="18"/>
          <w:color w:val="auto"/>
        </w:rPr>
        <w:t>47.3(b); or (C) a “covered FSI” as that term is defined in, and interpreted in accordance with, 12 C.F.R. § 382.2(b); (iii) the term “</w:t>
      </w:r>
      <w:r>
        <w:rPr>
          <w:rFonts w:ascii="Times New Roman" w:cs="Times New Roman" w:eastAsia="Times New Roman" w:hAnsi="Times New Roman"/>
          <w:sz w:val="18"/>
          <w:szCs w:val="18"/>
          <w:b w:val="1"/>
          <w:bCs w:val="1"/>
          <w:color w:val="auto"/>
        </w:rPr>
        <w:t>Default Rights</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(iv) the term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Special Resolution Regime</w:t>
      </w:r>
      <w:r>
        <w:rPr>
          <w:rFonts w:ascii="Times New Roman" w:cs="Times New Roman" w:eastAsia="Times New Roman" w:hAnsi="Times New Roman"/>
          <w:sz w:val="18"/>
          <w:szCs w:val="18"/>
          <w:color w:val="auto"/>
        </w:rPr>
        <w:t>” means each of (A) the Federal Deposit Insurance Act and the regulations promulgated thereunder and (B) Title II of the Dodd-Frank Wall Street Reform and Consumer Protection Act and the regulations promulgated thereunder.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Compliance with USA PATRIOT Act</w:t>
      </w:r>
      <w:r>
        <w:rPr>
          <w:rFonts w:ascii="Times New Roman" w:cs="Times New Roman" w:eastAsia="Times New Roman" w:hAnsi="Times New Roman"/>
          <w:sz w:val="17"/>
          <w:szCs w:val="17"/>
          <w:color w:val="auto"/>
        </w:rPr>
        <w:t>. In accordance with the requirements of the USA PATRIOT Act (Title III of Pub. L. 107-56 (signed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law on October 26, 2001)), the Underwriters are required to obtain, verify and record information that identifies their respective clients,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Subsidiary Guarantors, which information may include the name and addresses of their respective clients, as well as 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will allow the Underwriters to properly identify their respective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shall constitute one and the same agreement. Counterparts may be delivered via facsimile, electronic mail (including any electronic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by the U.S. federal ESIGN Act of 2000, Uniform Electronic Transactions Act, the Electronic Signatures and Records Act or other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www.docusign.com) or other transmission method and any counterpart so delivered shall be deemed to have been duly and validly delivered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 and effective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which follow, when used in this Agreement, shall have the meanings indicated.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assigned to such term in Section 1(b.3).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Alberta Securities Laws</w:t>
      </w:r>
      <w:r>
        <w:rPr>
          <w:rFonts w:ascii="Times New Roman" w:cs="Times New Roman" w:eastAsia="Times New Roman" w:hAnsi="Times New Roman"/>
          <w:sz w:val="18"/>
          <w:szCs w:val="18"/>
          <w:color w:val="auto"/>
        </w:rPr>
        <w:t>” shall mean the securities laws, rules, regulations, instruments, orders and published policy statements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Province of Alberta.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shall have the meaning assigned to such term in Section 1(b.2)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shall have the meaning assigned to such term in Section 1(b)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a Sunday or a day on which banking institutions are authorized or obligated by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to close in New York City, Toronto or Calgary.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assigned to such term in Section 3(a)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shall have the meaning assigned to such term in Section 1(b.2)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each date and time that any part of the Registration Statement, any post-effective amendment or amendments thereto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became or becomes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shall mean any Canadian, United States and other applicable foreign, federal, provincial, state, local or municipal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regulations or common law relating to the protection of human health and safety, the environment, natural resources or hazardous or toxic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wastes, pollutants or contaminants.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0"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shall have the meaning assigned to such term in Section 1(b)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court or governmental agency or body or any arbitrator of any kind having jurisdiction 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or any of their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7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shall mean any consent, approval, authorization, order, permit, license, filing, registration, clearance or qualification of, or with any statute, order, rule or regulation of any Governmental Authority.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shall mean an issuer free writing prospectus as defined in Rule 433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 material adverse effect on the condition (financial or otherwise), prospects, earnings, business or properties of the Company and its subsidiaries, taken as a whole, whether or not arising from transactions in the ordinary course of business.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shall mean any preliminary prospectus supplement to the Basic Prospectus which describes the Securities and the offering thereof and is used by the Underwriters prior to filing of the Final Prospectus, together with the Basic Prospectus.  </w:t>
      </w:r>
    </w:p>
    <w:p>
      <w:pPr>
        <w:spacing w:after="0" w:line="200" w:lineRule="exact"/>
        <w:rPr>
          <w:sz w:val="20"/>
          <w:szCs w:val="20"/>
          <w:color w:val="auto"/>
        </w:rPr>
      </w:pPr>
    </w:p>
    <w:p>
      <w:pPr>
        <w:jc w:val="both"/>
        <w:ind w:right="30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shall mean any subsidiary of the Company that is a “significant subsidiary” (as such term is defined in Rule 1-02 of Regulation S-X under the Act) of the Company, all of which (other than intermediate holding companies or other similar entities which do not hold any substantial assets other than equity interests in Significant Subsidiaries) are listed in Annex A hereto.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have the meaning ascribed thereto in Rule 1-02 of Regulation S-X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each Subsidiary Guarantor and the several Underwriters.</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ENBRIDGE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Jonathan E. Gould</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Jonathan E. Gould</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Treasury, Risk &amp; Pensions</w:t>
            </w: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SPECTRA ENERGY PARTNERS, LP</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Spectra Energy Partners (DE) GP, LP, its General Partner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Spectra Energy Partners GP, LLC, its General Partner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Stephen J. Neyland</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Stephen J. Neyland</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 Finance</w:t>
            </w: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ENBRIDGE ENERGY PARTNERS, L.P.</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Enbridge Energy Company, Inc., its General Partner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Stephen J. Neyland</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Stephen J. Neyland</w:t>
            </w:r>
          </w:p>
        </w:tc>
      </w:tr>
      <w:tr>
        <w:trPr>
          <w:trHeight w:val="23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30" w:lineRule="auto"/>
        <w:rPr>
          <w:sz w:val="20"/>
          <w:szCs w:val="20"/>
          <w:color w:val="auto"/>
        </w:rPr>
      </w:pPr>
      <w:r>
        <w:rPr>
          <w:rFonts w:ascii="Times New Roman" w:cs="Times New Roman" w:eastAsia="Times New Roman" w:hAnsi="Times New Roman"/>
          <w:sz w:val="22"/>
          <w:szCs w:val="22"/>
          <w:color w:val="auto"/>
        </w:rPr>
        <w:t> </w:t>
      </w:r>
    </w:p>
    <w:p>
      <w:pPr>
        <w:jc w:val="center"/>
        <w:spacing w:after="0" w:line="231" w:lineRule="auto"/>
        <w:rPr>
          <w:sz w:val="20"/>
          <w:szCs w:val="20"/>
          <w:color w:val="auto"/>
        </w:rPr>
      </w:pPr>
      <w:r>
        <w:rPr>
          <w:rFonts w:ascii="Times New Roman" w:cs="Times New Roman" w:eastAsia="Times New Roman" w:hAnsi="Times New Roman"/>
          <w:sz w:val="22"/>
          <w:szCs w:val="22"/>
          <w:color w:val="auto"/>
        </w:rPr>
        <w:t>[Signature page to Underwriting Agreement]</w:t>
      </w:r>
    </w:p>
    <w:p>
      <w:pPr>
        <w:spacing w:after="0"/>
        <w:rPr>
          <w:sz w:val="20"/>
          <w:szCs w:val="20"/>
          <w:color w:val="auto"/>
        </w:rPr>
      </w:pPr>
      <w:r>
        <w:rPr>
          <w:rFonts w:ascii="Times New Roman" w:cs="Times New Roman" w:eastAsia="Times New Roman" w:hAnsi="Times New Roman"/>
          <w:sz w:val="22"/>
          <w:szCs w:val="22"/>
          <w:color w:val="auto"/>
        </w:rPr>
        <w:t> </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BARCLAYS CAPITAL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John Lembeck</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Lembeck</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20"/>
                <w:szCs w:val="20"/>
                <w:color w:val="auto"/>
              </w:rPr>
            </w:pPr>
          </w:p>
        </w:tc>
        <w:tc>
          <w:tcPr>
            <w:tcW w:w="52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Colucci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Colucci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1" w:name="page32"/>
    <w:bookmarkEnd w:id="31"/>
    <w:p>
      <w:pPr>
        <w:ind w:left="4520"/>
        <w:spacing w:after="0"/>
        <w:rPr>
          <w:sz w:val="20"/>
          <w:szCs w:val="20"/>
          <w:color w:val="auto"/>
        </w:rPr>
      </w:pPr>
      <w:r>
        <w:rPr>
          <w:rFonts w:ascii="Times New Roman" w:cs="Times New Roman" w:eastAsia="Times New Roman" w:hAnsi="Times New Roman"/>
          <w:sz w:val="17"/>
          <w:szCs w:val="17"/>
          <w:b w:val="1"/>
          <w:bCs w:val="1"/>
          <w:color w:val="auto"/>
        </w:rPr>
        <w:t>CITIGROUP GLOBAL MARKETS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2" w:name="page33"/>
    <w:bookmarkEnd w:id="32"/>
    <w:p>
      <w:pPr>
        <w:ind w:left="5640"/>
        <w:spacing w:after="0"/>
        <w:rPr>
          <w:sz w:val="20"/>
          <w:szCs w:val="20"/>
          <w:color w:val="auto"/>
        </w:rPr>
      </w:pPr>
      <w:r>
        <w:rPr>
          <w:rFonts w:ascii="Times New Roman" w:cs="Times New Roman" w:eastAsia="Times New Roman" w:hAnsi="Times New Roman"/>
          <w:sz w:val="17"/>
          <w:szCs w:val="17"/>
          <w:b w:val="1"/>
          <w:bCs w:val="1"/>
          <w:color w:val="auto"/>
        </w:rPr>
        <w:t>J.P. MORGAN SECURITIES LLC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Bottamedi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 named in Schedule II to the foregoing Agreement.</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dated March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No. 333-289186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Barclays Capital Inc.</w:t>
            </w:r>
          </w:p>
        </w:tc>
        <w:tc>
          <w:tcPr>
            <w:tcW w:w="56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BofA Securities, Inc.</w:t>
            </w:r>
          </w:p>
        </w:tc>
        <w:tc>
          <w:tcPr>
            <w:tcW w:w="56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24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J.P. Morgan Securities LLC</w:t>
            </w:r>
          </w:p>
        </w:tc>
        <w:tc>
          <w:tcPr>
            <w:tcW w:w="7240" w:type="dxa"/>
            <w:vAlign w:val="bottom"/>
          </w:tcPr>
          <w:p>
            <w:pPr>
              <w:spacing w:after="0"/>
              <w:rPr>
                <w:sz w:val="20"/>
                <w:szCs w:val="20"/>
                <w:color w:val="auto"/>
              </w:rPr>
            </w:pPr>
          </w:p>
        </w:tc>
      </w:tr>
      <w:tr>
        <w:trPr>
          <w:trHeight w:val="432"/>
        </w:trPr>
        <w:tc>
          <w:tcPr>
            <w:tcW w:w="1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Purchase Price, Underwriting Discount and Description of Securities:</w:t>
            </w:r>
          </w:p>
        </w:tc>
      </w:tr>
      <w:tr>
        <w:trPr>
          <w:trHeight w:val="41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4"/>
                <w:szCs w:val="24"/>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4.850% Senior Notes due 2031 (the “2031 Notes”)</w:t>
            </w:r>
          </w:p>
        </w:tc>
      </w:tr>
      <w:tr>
        <w:trPr>
          <w:trHeight w:val="234"/>
        </w:trPr>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5.450% Senior Notes due 2036 (the “2036 Notes”)</w:t>
            </w:r>
          </w:p>
        </w:tc>
      </w:tr>
      <w:tr>
        <w:trPr>
          <w:trHeight w:val="41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amount:</w:t>
            </w:r>
          </w:p>
        </w:tc>
        <w:tc>
          <w:tcPr>
            <w:tcW w:w="1800" w:type="dxa"/>
            <w:vAlign w:val="bottom"/>
          </w:tcPr>
          <w:p>
            <w:pPr>
              <w:spacing w:after="0"/>
              <w:rPr>
                <w:sz w:val="24"/>
                <w:szCs w:val="24"/>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US$1,000,000,000 of 2031 Notes</w:t>
            </w:r>
          </w:p>
        </w:tc>
      </w:tr>
      <w:tr>
        <w:trPr>
          <w:trHeight w:val="234"/>
        </w:trPr>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US$1,000,000,000 of 2036 Notes</w:t>
            </w:r>
          </w:p>
        </w:tc>
      </w:tr>
      <w:tr>
        <w:trPr>
          <w:trHeight w:val="41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Price:</w:t>
            </w:r>
          </w:p>
        </w:tc>
        <w:tc>
          <w:tcPr>
            <w:tcW w:w="180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2031</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Notes – 99.260%</w:t>
            </w:r>
          </w:p>
        </w:tc>
      </w:tr>
      <w:tr>
        <w:trPr>
          <w:trHeight w:val="234"/>
        </w:trPr>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2036</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Notes – 99.274%</w:t>
            </w:r>
          </w:p>
        </w:tc>
      </w:tr>
      <w:tr>
        <w:trPr>
          <w:trHeight w:val="414"/>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discount: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2031</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Notes – 0.600%</w:t>
            </w:r>
          </w:p>
        </w:tc>
      </w:tr>
      <w:tr>
        <w:trPr>
          <w:trHeight w:val="216"/>
        </w:trPr>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2036</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w w:val="99"/>
              </w:rPr>
              <w:t>Notes – 0.650%, in each case of the aggregate principal amount of the respective series of Securities</w:t>
            </w:r>
          </w:p>
        </w:tc>
      </w:tr>
      <w:tr>
        <w:trPr>
          <w:trHeight w:val="234"/>
        </w:trPr>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sold hereunder</w:t>
            </w:r>
          </w:p>
        </w:tc>
      </w:tr>
      <w:tr>
        <w:trPr>
          <w:trHeight w:val="432"/>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Sinking fund provisions:</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None</w:t>
            </w:r>
          </w:p>
        </w:tc>
        <w:tc>
          <w:tcPr>
            <w:tcW w:w="7240" w:type="dxa"/>
            <w:vAlign w:val="bottom"/>
          </w:tcPr>
          <w:p>
            <w:pPr>
              <w:spacing w:after="0"/>
              <w:rPr>
                <w:sz w:val="24"/>
                <w:szCs w:val="24"/>
                <w:color w:val="auto"/>
              </w:rPr>
            </w:pPr>
          </w:p>
        </w:tc>
      </w:tr>
      <w:tr>
        <w:trPr>
          <w:trHeight w:val="432"/>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1800" w:type="dxa"/>
            <w:vAlign w:val="bottom"/>
          </w:tcPr>
          <w:p>
            <w:pPr>
              <w:spacing w:after="0"/>
              <w:rPr>
                <w:sz w:val="24"/>
                <w:szCs w:val="24"/>
                <w:color w:val="auto"/>
              </w:rPr>
            </w:pP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described in the term sheet included as Annex G.</w:t>
            </w:r>
          </w:p>
        </w:tc>
      </w:tr>
      <w:tr>
        <w:trPr>
          <w:trHeight w:val="432"/>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Redemption provisions:</w:t>
            </w: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described in the term sheet included as Annex 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Time and Location: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March 27, 2026 at 9:00 a.m. (New York Time) at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Offering: Non-delayed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Date referred to in Section 5(f) after which the Company may offer or sell debt securities issued or guaranteed by the Company without the consent of the Representatives shall be the Closing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 of items to be covered by the letters from PricewaterhouseCoopers LLP pursuant to Section 7(i) at the Execution Time: 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Principal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16"/>
        </w:trPr>
        <w:tc>
          <w:tcPr>
            <w:tcW w:w="4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Amount of</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4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2031 Notes to</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2036 Notes to</w:t>
            </w:r>
          </w:p>
        </w:tc>
      </w:tr>
      <w:tr>
        <w:trPr>
          <w:trHeight w:val="234"/>
        </w:trPr>
        <w:tc>
          <w:tcPr>
            <w:tcW w:w="47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Underwriters</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be Purchased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be Purchased</w:t>
            </w: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Roberts &amp; Ryan, Inc.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5"/>
              </w:rPr>
              <w:t>ANNEX A</w:t>
            </w:r>
          </w:p>
        </w:tc>
      </w:tr>
      <w:tr>
        <w:trPr>
          <w:trHeight w:val="432"/>
        </w:trPr>
        <w:tc>
          <w:tcPr>
            <w:tcW w:w="9560" w:type="dxa"/>
            <w:vAlign w:val="bottom"/>
            <w:gridSpan w:val="2"/>
          </w:tcPr>
          <w:p>
            <w:pPr>
              <w:ind w:left="4720"/>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c>
          <w:tcPr>
            <w:tcW w:w="1680" w:type="dxa"/>
            <w:vAlign w:val="bottom"/>
          </w:tcPr>
          <w:p>
            <w:pPr>
              <w:spacing w:after="0"/>
              <w:rPr>
                <w:sz w:val="24"/>
                <w:szCs w:val="24"/>
                <w:color w:val="auto"/>
              </w:rPr>
            </w:pPr>
          </w:p>
        </w:tc>
      </w:tr>
      <w:tr>
        <w:trPr>
          <w:trHeight w:val="414"/>
        </w:trPr>
        <w:tc>
          <w:tcPr>
            <w:tcW w:w="9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Organized Under the</w:t>
            </w:r>
          </w:p>
        </w:tc>
      </w:tr>
      <w:tr>
        <w:trPr>
          <w:trHeight w:val="234"/>
        </w:trPr>
        <w:tc>
          <w:tcPr>
            <w:tcW w:w="956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Subsidiary</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Laws of</w:t>
            </w:r>
          </w:p>
        </w:tc>
      </w:tr>
      <w:tr>
        <w:trPr>
          <w:trHeight w:val="209"/>
        </w:trPr>
        <w:tc>
          <w:tcPr>
            <w:tcW w:w="9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Enbridge Energy Company, Inc.</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Enbridge (U.S.) Inc.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Tidal Energy Marketing Inc.</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Tidal Energy Marketing (U.S.) L.L.C.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Enbridge Energy Partners, L.P.</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Spectra Energy, LLC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Spectra Energy Partners, LP</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Enbridge Management Services Inc.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Enbridge Gas Inc.</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Ontario</w:t>
            </w:r>
          </w:p>
        </w:tc>
      </w:tr>
      <w:tr>
        <w:trPr>
          <w:trHeight w:val="23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Enbridge Genoa U.S. Holdings, LLC</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Delaware</w:t>
            </w:r>
          </w:p>
        </w:tc>
      </w:tr>
      <w:tr>
        <w:trPr>
          <w:trHeight w:val="630"/>
        </w:trPr>
        <w:tc>
          <w:tcPr>
            <w:tcW w:w="9560" w:type="dxa"/>
            <w:vAlign w:val="bottom"/>
            <w:tcBorders>
              <w:bottom w:val="single" w:sz="8" w:color="auto"/>
            </w:tcBorders>
            <w:gridSpan w:val="2"/>
          </w:tcPr>
          <w:p>
            <w:pPr>
              <w:ind w:left="5480"/>
              <w:spacing w:after="0"/>
              <w:rPr>
                <w:sz w:val="20"/>
                <w:szCs w:val="20"/>
                <w:color w:val="auto"/>
              </w:rPr>
            </w:pPr>
            <w:r>
              <w:rPr>
                <w:rFonts w:ascii="Times New Roman" w:cs="Times New Roman" w:eastAsia="Times New Roman" w:hAnsi="Times New Roman"/>
                <w:sz w:val="18"/>
                <w:szCs w:val="18"/>
                <w:color w:val="auto"/>
              </w:rPr>
              <w:t>A-1</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Form of Opinion Paragraphs of Sullivan &amp; Cromwell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Form of Opinion Paragraphs of McCarthy Tétrault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ENBRIDGE INC.</w:t>
      </w:r>
    </w:p>
    <w:p>
      <w:pPr>
        <w:spacing w:after="0" w:line="2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Form of Opinion Paragraphs of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333-289186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March 24, 2026</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document does not provide full disclosure of all material facts relating to the securities offered. Investors should read the registration statement, any amendment and any applicable prospectus supplement for disclosure of those facts, especially risk factors relating to the securities offered, before making an investment decision.</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ENBRIDGE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4.850% Senior Notes due 2031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5.450% Senior Notes due 2036</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Guarantors:</w:t>
      </w:r>
      <w:r>
        <w:rPr>
          <w:sz w:val="20"/>
          <w:szCs w:val="20"/>
          <w:color w:val="auto"/>
        </w:rPr>
        <w:tab/>
      </w:r>
      <w:r>
        <w:rPr>
          <w:rFonts w:ascii="Times New Roman" w:cs="Times New Roman" w:eastAsia="Times New Roman" w:hAnsi="Times New Roman"/>
          <w:sz w:val="18"/>
          <w:szCs w:val="18"/>
          <w:color w:val="auto"/>
        </w:rPr>
        <w:t>Spectra Energy Partners, LP</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Enbridge Energy Partners, L.P.</w:t>
      </w:r>
    </w:p>
    <w:p>
      <w:pPr>
        <w:spacing w:after="0" w:line="20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Issue of Securities:</w:t>
      </w:r>
      <w:r>
        <w:rPr>
          <w:sz w:val="20"/>
          <w:szCs w:val="20"/>
          <w:color w:val="auto"/>
        </w:rPr>
        <w:tab/>
      </w:r>
      <w:r>
        <w:rPr>
          <w:rFonts w:ascii="Times New Roman" w:cs="Times New Roman" w:eastAsia="Times New Roman" w:hAnsi="Times New Roman"/>
          <w:sz w:val="17"/>
          <w:szCs w:val="17"/>
          <w:color w:val="auto"/>
        </w:rPr>
        <w:t>4.850% Senior Notes due 2031</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Principal Amount:</w:t>
      </w:r>
      <w:r>
        <w:rPr>
          <w:sz w:val="20"/>
          <w:szCs w:val="20"/>
          <w:color w:val="auto"/>
        </w:rPr>
        <w:tab/>
      </w:r>
      <w:r>
        <w:rPr>
          <w:rFonts w:ascii="Times New Roman" w:cs="Times New Roman" w:eastAsia="Times New Roman" w:hAnsi="Times New Roman"/>
          <w:sz w:val="18"/>
          <w:szCs w:val="18"/>
          <w:color w:val="auto"/>
        </w:rPr>
        <w:t>US$1,000,000,000</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Coupon:</w:t>
      </w:r>
      <w:r>
        <w:rPr>
          <w:sz w:val="20"/>
          <w:szCs w:val="20"/>
          <w:color w:val="auto"/>
        </w:rPr>
        <w:tab/>
      </w:r>
      <w:r>
        <w:rPr>
          <w:rFonts w:ascii="Times New Roman" w:cs="Times New Roman" w:eastAsia="Times New Roman" w:hAnsi="Times New Roman"/>
          <w:sz w:val="18"/>
          <w:szCs w:val="18"/>
          <w:color w:val="auto"/>
        </w:rPr>
        <w:t>4.850%</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8"/>
          <w:szCs w:val="18"/>
          <w:color w:val="auto"/>
        </w:rPr>
        <w:t>Semi-annually on March 27 and September 27, commencing</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on September 27, 2026.</w:t>
      </w:r>
    </w:p>
    <w:p>
      <w:pPr>
        <w:spacing w:after="0" w:line="20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Maturity Date:</w:t>
      </w:r>
      <w:r>
        <w:rPr>
          <w:sz w:val="20"/>
          <w:szCs w:val="20"/>
          <w:color w:val="auto"/>
        </w:rPr>
        <w:tab/>
      </w:r>
      <w:r>
        <w:rPr>
          <w:rFonts w:ascii="Times New Roman" w:cs="Times New Roman" w:eastAsia="Times New Roman" w:hAnsi="Times New Roman"/>
          <w:sz w:val="17"/>
          <w:szCs w:val="17"/>
          <w:color w:val="auto"/>
        </w:rPr>
        <w:t>March 27, 2031</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Treasury Benchmark:</w:t>
      </w:r>
      <w:r>
        <w:rPr>
          <w:sz w:val="20"/>
          <w:szCs w:val="20"/>
          <w:color w:val="auto"/>
        </w:rPr>
        <w:tab/>
      </w:r>
      <w:r>
        <w:rPr>
          <w:rFonts w:ascii="Times New Roman" w:cs="Times New Roman" w:eastAsia="Times New Roman" w:hAnsi="Times New Roman"/>
          <w:sz w:val="18"/>
          <w:szCs w:val="18"/>
          <w:color w:val="auto"/>
        </w:rPr>
        <w:t>3.500% due February 28, 2031</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U.S. Treasury Yield:</w:t>
      </w:r>
      <w:r>
        <w:rPr>
          <w:sz w:val="20"/>
          <w:szCs w:val="20"/>
          <w:color w:val="auto"/>
        </w:rPr>
        <w:tab/>
      </w:r>
      <w:r>
        <w:rPr>
          <w:rFonts w:ascii="Times New Roman" w:cs="Times New Roman" w:eastAsia="Times New Roman" w:hAnsi="Times New Roman"/>
          <w:sz w:val="18"/>
          <w:szCs w:val="18"/>
          <w:color w:val="auto"/>
        </w:rPr>
        <w:t>4.052%</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Spread to Treasury:</w:t>
      </w:r>
      <w:r>
        <w:rPr>
          <w:sz w:val="20"/>
          <w:szCs w:val="20"/>
          <w:color w:val="auto"/>
        </w:rPr>
        <w:tab/>
      </w:r>
      <w:r>
        <w:rPr>
          <w:rFonts w:ascii="Times New Roman" w:cs="Times New Roman" w:eastAsia="Times New Roman" w:hAnsi="Times New Roman"/>
          <w:sz w:val="18"/>
          <w:szCs w:val="18"/>
          <w:color w:val="auto"/>
        </w:rPr>
        <w:t>+0.830%</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Re-offer Yield:</w:t>
      </w:r>
      <w:r>
        <w:rPr>
          <w:sz w:val="20"/>
          <w:szCs w:val="20"/>
          <w:color w:val="auto"/>
        </w:rPr>
        <w:tab/>
      </w:r>
      <w:r>
        <w:rPr>
          <w:rFonts w:ascii="Times New Roman" w:cs="Times New Roman" w:eastAsia="Times New Roman" w:hAnsi="Times New Roman"/>
          <w:sz w:val="18"/>
          <w:szCs w:val="18"/>
          <w:color w:val="auto"/>
        </w:rPr>
        <w:t>4.882%</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Initial Price to Public:</w:t>
      </w:r>
      <w:r>
        <w:rPr>
          <w:sz w:val="20"/>
          <w:szCs w:val="20"/>
          <w:color w:val="auto"/>
        </w:rPr>
        <w:tab/>
      </w:r>
      <w:r>
        <w:rPr>
          <w:rFonts w:ascii="Times New Roman" w:cs="Times New Roman" w:eastAsia="Times New Roman" w:hAnsi="Times New Roman"/>
          <w:sz w:val="17"/>
          <w:szCs w:val="17"/>
          <w:color w:val="auto"/>
        </w:rPr>
        <w:t>99.860%</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Minimum Denominations:</w:t>
      </w:r>
      <w:r>
        <w:rPr>
          <w:sz w:val="20"/>
          <w:szCs w:val="20"/>
          <w:color w:val="auto"/>
        </w:rPr>
        <w:tab/>
      </w:r>
      <w:r>
        <w:rPr>
          <w:rFonts w:ascii="Times New Roman" w:cs="Times New Roman" w:eastAsia="Times New Roman" w:hAnsi="Times New Roman"/>
          <w:sz w:val="17"/>
          <w:szCs w:val="17"/>
          <w:color w:val="auto"/>
        </w:rPr>
        <w:t>US$2,000 x $1,000</w:t>
      </w:r>
    </w:p>
    <w:p>
      <w:pPr>
        <w:spacing w:after="0" w:line="22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8"/>
          <w:szCs w:val="18"/>
          <w:color w:val="auto"/>
        </w:rPr>
        <w:t>On any date more than one month prior to the maturity date</w:t>
      </w:r>
    </w:p>
    <w:p>
      <w:pPr>
        <w:spacing w:after="0" w:line="27" w:lineRule="exact"/>
        <w:rPr>
          <w:sz w:val="20"/>
          <w:szCs w:val="20"/>
          <w:color w:val="auto"/>
        </w:rPr>
      </w:pPr>
    </w:p>
    <w:p>
      <w:pPr>
        <w:ind w:left="2380" w:right="420"/>
        <w:spacing w:after="0" w:line="255" w:lineRule="auto"/>
        <w:rPr>
          <w:sz w:val="20"/>
          <w:szCs w:val="20"/>
          <w:color w:val="auto"/>
        </w:rPr>
      </w:pPr>
      <w:r>
        <w:rPr>
          <w:rFonts w:ascii="Times New Roman" w:cs="Times New Roman" w:eastAsia="Times New Roman" w:hAnsi="Times New Roman"/>
          <w:sz w:val="18"/>
          <w:szCs w:val="18"/>
          <w:color w:val="auto"/>
        </w:rPr>
        <w:t>for an amount equal to the principal amount of the notes redeemed plus a make-whole premium and accrued but unpaid interest to the redemption date.</w:t>
      </w:r>
    </w:p>
    <w:p>
      <w:pPr>
        <w:spacing w:after="0" w:line="186" w:lineRule="exact"/>
        <w:rPr>
          <w:sz w:val="20"/>
          <w:szCs w:val="20"/>
          <w:color w:val="auto"/>
        </w:rPr>
      </w:pPr>
    </w:p>
    <w:p>
      <w:pPr>
        <w:ind w:left="2380"/>
        <w:spacing w:after="0" w:line="261" w:lineRule="auto"/>
        <w:rPr>
          <w:sz w:val="20"/>
          <w:szCs w:val="20"/>
          <w:color w:val="auto"/>
        </w:rPr>
      </w:pPr>
      <w:r>
        <w:rPr>
          <w:rFonts w:ascii="Times New Roman" w:cs="Times New Roman" w:eastAsia="Times New Roman" w:hAnsi="Times New Roman"/>
          <w:sz w:val="18"/>
          <w:szCs w:val="18"/>
          <w:color w:val="auto"/>
        </w:rPr>
        <w:t>On any date that is on or after February 27, 2031, the date that is one month prior to the maturity date, for an amount equal to the principal amount of the notes redeemed plus accrued but unpaid interest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5.450% Senior Notes due 2036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US$1,000,000,000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5.450%</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Semi-annually on March 27 and September 27, commencing on September 27,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2036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4.125% due February 15, 2036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US$2,000 x $1,000</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any date more than three months prior to the maturity date for an amount equal to the principal amount of the notes redeemed plus a make-whole premium and accrued but unpaid interest to the redemption date.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any date that is on or after December 27, 2035, the date that is three months prior to the maturity date, for an amount equal to the principal amount of the notes redeemed plus accrued but unpaid interest to the redemption date.</w:t>
      </w:r>
    </w:p>
    <w:p>
      <w:pPr>
        <w:sectPr>
          <w:pgSz w:w="11900" w:h="16838" w:orient="portrait"/>
          <w:cols w:equalWidth="0" w:num="2">
            <w:col w:w="6860" w:space="120"/>
            <w:col w:w="4260"/>
          </w:cols>
          <w:pgMar w:left="320" w:top="900"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Make-Whole Premium:</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+15 bps</w:t>
            </w:r>
          </w:p>
        </w:tc>
        <w:tc>
          <w:tcPr>
            <w:tcW w:w="3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U.S. Treasury +20 bps</w:t>
            </w: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29250N CQ6 / US29250NCQ60</w:t>
            </w:r>
          </w:p>
        </w:tc>
        <w:tc>
          <w:tcPr>
            <w:tcW w:w="32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29250N CR4 / US29250NCR44</w:t>
            </w: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Trade/Pricing Date:</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24, 2026</w:t>
            </w:r>
          </w:p>
        </w:tc>
        <w:tc>
          <w:tcPr>
            <w:tcW w:w="3240" w:type="dxa"/>
            <w:vAlign w:val="bottom"/>
          </w:tcPr>
          <w:p>
            <w:pPr>
              <w:spacing w:after="0"/>
              <w:rPr>
                <w:sz w:val="24"/>
                <w:szCs w:val="24"/>
                <w:color w:val="auto"/>
              </w:rPr>
            </w:pP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27, 2026 (T+3)</w:t>
            </w:r>
          </w:p>
        </w:tc>
        <w:tc>
          <w:tcPr>
            <w:tcW w:w="3240" w:type="dxa"/>
            <w:vAlign w:val="bottom"/>
          </w:tcPr>
          <w:p>
            <w:pPr>
              <w:spacing w:after="0"/>
              <w:rPr>
                <w:sz w:val="24"/>
                <w:szCs w:val="24"/>
                <w:color w:val="auto"/>
              </w:rPr>
            </w:pP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Barclays Capital Inc.</w:t>
            </w:r>
          </w:p>
        </w:tc>
        <w:tc>
          <w:tcPr>
            <w:tcW w:w="3240" w:type="dxa"/>
            <w:vAlign w:val="bottom"/>
          </w:tcPr>
          <w:p>
            <w:pPr>
              <w:spacing w:after="0"/>
              <w:rPr>
                <w:sz w:val="24"/>
                <w:szCs w:val="24"/>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Managers:</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BofA Securities,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J.P. Morgan Securities LLC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2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3240" w:type="dxa"/>
            <w:vAlign w:val="bottom"/>
          </w:tcPr>
          <w:p>
            <w:pPr>
              <w:spacing w:after="0"/>
              <w:rPr>
                <w:sz w:val="20"/>
                <w:szCs w:val="20"/>
                <w:color w:val="auto"/>
              </w:rPr>
            </w:pP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32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PNC Capital Markets LLC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Truist Securities,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Roberts &amp; Ryan,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Academy Securities, Inc.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ICBC Standard Bank Plc</w:t>
            </w:r>
          </w:p>
        </w:tc>
        <w:tc>
          <w:tcPr>
            <w:tcW w:w="32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Loop Capital Markets LLC</w:t>
            </w:r>
          </w:p>
        </w:tc>
        <w:tc>
          <w:tcPr>
            <w:tcW w:w="32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3240" w:type="dxa"/>
            <w:vAlign w:val="bottom"/>
          </w:tcPr>
          <w:p>
            <w:pPr>
              <w:spacing w:after="0"/>
              <w:rPr>
                <w:sz w:val="20"/>
                <w:szCs w:val="20"/>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issuer expects that delivery of the Notes will be made against payment therefor on or about March 27, 2026, which will be the third business day following the date of pricing of the Notes (this settlement cycle being herein referred to as “T+3”). Under Rule 15c6-1 under the U.S. Securities Exchange Act of 1934, as amended, trades in the secondary market generally are required to settle in one business day, unless the parties to any such trade expressly agree otherwise. Accordingly, purchasers who wish to trade the Notes more than one business day prior to the scheduled settlement date will be required, by virtue of the fact that the Notes initially will settle in T+3, to specify an alternative settlement cycle at the time of any such trade to prevent a failed settlement. Purchasers of the Notes who wish to make such trades should consult their own advisor.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defined herein have the meanings assigned in the issuer’s Preliminary Prospectus Supplement, dated March 24, 2026.</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issuer and guarantors have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Alternatively, the issuer, any underwriter or any dealer participating in the offering will arrange to send you the prospectus if you request it by calling Barclays Capital Inc. toll-free at (888) 603-5847, BofA Securities, Inc. toll-free at (800) 294-1322, Citigroup Global Markets Inc. toll-free at (800) 831-9146 or J.P. Morgan Securities LLC collect at (212) 834-4533.</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ENBRIDGE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102, 201, AND 301 OF THE INDENTURE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27, 2025</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Jonathan E. Gould, Vice President, Treasury, Risk &amp; Pensions, and David Taniguchi, Vice President, Legal &amp; Corporate Secretary of Enbridge Inc., a corporation duly incorporated under the </w:t>
      </w:r>
      <w:r>
        <w:rPr>
          <w:rFonts w:ascii="Times New Roman" w:cs="Times New Roman" w:eastAsia="Times New Roman" w:hAnsi="Times New Roman"/>
          <w:sz w:val="18"/>
          <w:szCs w:val="18"/>
          <w:i w:val="1"/>
          <w:iCs w:val="1"/>
          <w:color w:val="auto"/>
        </w:rPr>
        <w:t>Companies Ordinance</w:t>
      </w:r>
      <w:r>
        <w:rPr>
          <w:rFonts w:ascii="Times New Roman" w:cs="Times New Roman" w:eastAsia="Times New Roman" w:hAnsi="Times New Roman"/>
          <w:sz w:val="18"/>
          <w:szCs w:val="18"/>
          <w:color w:val="auto"/>
        </w:rPr>
        <w:t xml:space="preserve"> of the Northwest Territories and continued and existing under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(the “Company”), in connection with the issuance by the Company on the date hereof of (i) US$1,000,000,000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Company’s 4.850% Senior Notes due 2031 (the “2031 Notes”) and (ii) US$1,000,000,000 aggregate principal amount of the Company’s 5.450% Senior Notes due 2036 (the “2036 Notes” and, together with the 2031 Notes, the “Notes”), each hereby certifies pursuant to Sections 102, 201 and 301 of the Indenture, dated as of February 25, 2005, between the Company and Deutsche Bank Trust Company Americas, as Trustee (the “Trustee”), as amended and supplemented by the First Supplemental Indenture, dated as of March 1, 2012, between the Company and the Trustee, the Sixth Supplemental Indenture, dated as of May 13, 2019, among the Trustee, the Company, Spectra Energy Partners, LP, a Delaware limited partnership (“SEP”), and Enbridge Energy Partners, L.P., a Delaware limited partnership (“EEP” and, together with SEP, the “Guarantors”) and the Eighth Supplemental Indenture, dated as of June 28, 2021, among the Trustee, the Company and the Guarantors (such Indenture, as amended and supplemented, the “Indenture”), that:</w:t>
      </w:r>
    </w:p>
    <w:p>
      <w:pPr>
        <w:spacing w:after="0" w:line="200" w:lineRule="exact"/>
        <w:rPr>
          <w:sz w:val="20"/>
          <w:szCs w:val="20"/>
          <w:color w:val="auto"/>
        </w:rPr>
      </w:pPr>
    </w:p>
    <w:p>
      <w:pPr>
        <w:spacing w:after="0" w:line="210" w:lineRule="exact"/>
        <w:rPr>
          <w:sz w:val="20"/>
          <w:szCs w:val="20"/>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read all of the conditions (including all definitions relating thereto) set forth in the Indenture for the authorization, issuance, authentication and delivery of the Notes.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examined the documents submitted by the Company to the Trustee relating to the Notes and certain other Company documents and records, including the Resolutions of the Board of Directors of the Company (the “Board”) referred to below and the actions of the Vice President, Treasury, Risk &amp; Pensions and the Vice President, Legal &amp; Corporate Secretary of the Company referred to below.</w:t>
      </w:r>
    </w:p>
    <w:p>
      <w:pPr>
        <w:spacing w:after="0" w:line="179"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made such examination or investigation as is necessary to enable him or her, as the case may be, to express the informed opinion set forth in Paragraph 4 of this Certificate.</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undersigned, the conditions of the applicable provisions of the Indenture have been complied with in connection with the issuance of the Notes.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2026, in accordance with the Resolutions approved by the Board of Directors of the Company at a meeting of the Board held on December 2, 2024 and at a meeting of the Board held on December 2, 2025, certain of the Authorized Officers (as defined in the Resolutions), following discussions by telephone among the officers of the Company and representatives of the Underwriters (as defined below) with respect to the terms to be established in respect of the issue and sale of the Notes to the several underwriters named in Schedule II (the “Underwriters”) to the Underwriting Agreement, dated as of March 24, 2026, among the Company and each of the Guarantors and Barclays Capital Inc., BofA Securities, Inc., Citigroup Global Markets Inc. and J.P. Morgan Securities LLC, as representatives of the Underwriters, and the resale by the Underwriters of the Notes to the public, agreed upon and set the terms concerning the issue of the Notes, in accordance with Section 301 of the Indenture. The terms of the Notes, form of the 2031 Notes and form of the 2036 Notes are attached hereto as Exhibits A, B and C,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Certificate on behalf of the Company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ENBRIDGE INC.</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Jonathan E.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Jonathan E. Gould</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Treasury, Risk &amp; Pensions</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David Taniguchi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David Taniguchi</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Legal &amp; Corporate Secretary</w:t>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Indenture</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980" w:top="904" w:right="79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Terms of the Notes</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6" w:name="page47"/>
    <w:bookmarkEnd w:id="46"/>
    <w:p>
      <w:pPr>
        <w:jc w:val="center"/>
        <w:ind w:right="636"/>
        <w:spacing w:after="0"/>
        <w:rPr>
          <w:sz w:val="20"/>
          <w:szCs w:val="20"/>
          <w:color w:val="auto"/>
        </w:rPr>
      </w:pPr>
      <w:r>
        <w:rPr>
          <w:rFonts w:ascii="Times New Roman" w:cs="Times New Roman" w:eastAsia="Times New Roman" w:hAnsi="Times New Roman"/>
          <w:sz w:val="18"/>
          <w:szCs w:val="18"/>
          <w:u w:val="single" w:color="auto"/>
          <w:color w:val="auto"/>
        </w:rPr>
        <w:t>Terms of US$1,000,000,000 4.850% Senior Notes due 2031</w:t>
      </w:r>
    </w:p>
    <w:p>
      <w:pPr>
        <w:spacing w:after="0" w:line="225"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given to such terms in the Indenture.</w:t>
      </w:r>
    </w:p>
    <w:p>
      <w:pPr>
        <w:spacing w:after="0" w:line="221" w:lineRule="exact"/>
        <w:rPr>
          <w:sz w:val="20"/>
          <w:szCs w:val="20"/>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of Securities</w:t>
      </w:r>
      <w:r>
        <w:rPr>
          <w:rFonts w:ascii="Times New Roman" w:cs="Times New Roman" w:eastAsia="Times New Roman" w:hAnsi="Times New Roman"/>
          <w:sz w:val="18"/>
          <w:szCs w:val="18"/>
          <w:color w:val="auto"/>
        </w:rPr>
        <w:t>: “4.850% Senior Notes due 2031” (the “2031 Notes”).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Aggregate Principal Amount of 2031 Notes to be initially issued and sold to the Underwriters for Resale to the Public</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US$1,000,000,000. The Company may, at any time, and from time to time, issue additional 2031 Notes under the Indenture in unlimited amounts having the same terms as the 2031 Notes, and such additional 2031 Notes will, together with the then existing 2031 Notes and any notes which may be issued in exchange or substitution therefor, constitute a single series of notes under the Indenture.</w:t>
      </w:r>
    </w:p>
    <w:p>
      <w:pPr>
        <w:spacing w:after="0" w:line="1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In accordance with Section 1401 of the Indenture, the 2031 Notes are guaranteed by both Guarantors.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March 27, 2031 (the “2031 Notes Maturity Date”).</w:t>
      </w:r>
    </w:p>
    <w:p>
      <w:pPr>
        <w:spacing w:after="0" w:line="225" w:lineRule="exact"/>
        <w:rPr>
          <w:rFonts w:ascii="Times New Roman" w:cs="Times New Roman" w:eastAsia="Times New Roman" w:hAnsi="Times New Roman"/>
          <w:sz w:val="18"/>
          <w:szCs w:val="18"/>
          <w:color w:val="auto"/>
        </w:rPr>
      </w:pPr>
    </w:p>
    <w:p>
      <w:pPr>
        <w:ind w:left="644" w:right="420" w:hanging="644"/>
        <w:spacing w:after="0" w:line="28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The 2031 Notes will bear interest at the rate of 4.850% per annum, accruing from March 27, 2026, or from the most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Payment Date to which interest has been paid or duly provided for.</w:t>
      </w:r>
    </w:p>
    <w:p>
      <w:pPr>
        <w:spacing w:after="0" w:line="154" w:lineRule="exact"/>
        <w:rPr>
          <w:rFonts w:ascii="Times New Roman" w:cs="Times New Roman" w:eastAsia="Times New Roman" w:hAnsi="Times New Roman"/>
          <w:sz w:val="18"/>
          <w:szCs w:val="18"/>
          <w:color w:val="auto"/>
        </w:rPr>
      </w:pPr>
    </w:p>
    <w:p>
      <w:pPr>
        <w:ind w:left="644" w:right="40" w:hanging="644"/>
        <w:spacing w:after="0" w:line="28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Payment Dates</w:t>
      </w:r>
      <w:r>
        <w:rPr>
          <w:rFonts w:ascii="Times New Roman" w:cs="Times New Roman" w:eastAsia="Times New Roman" w:hAnsi="Times New Roman"/>
          <w:sz w:val="18"/>
          <w:szCs w:val="18"/>
          <w:color w:val="auto"/>
        </w:rPr>
        <w:t>: March 27 and September 27 of each year, beginning September 27, 2026, subject to adjustment if any such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Business Day.</w:t>
      </w:r>
    </w:p>
    <w:p>
      <w:pPr>
        <w:spacing w:after="0" w:line="154" w:lineRule="exact"/>
        <w:rPr>
          <w:rFonts w:ascii="Times New Roman" w:cs="Times New Roman" w:eastAsia="Times New Roman" w:hAnsi="Times New Roman"/>
          <w:sz w:val="18"/>
          <w:szCs w:val="18"/>
          <w:color w:val="auto"/>
        </w:rPr>
      </w:pPr>
    </w:p>
    <w:p>
      <w:pPr>
        <w:ind w:left="644" w:hanging="644"/>
        <w:spacing w:after="0" w:line="254"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Record Dates for Interest Payable on any Interest Payment Date</w:t>
      </w:r>
      <w:r>
        <w:rPr>
          <w:rFonts w:ascii="Times New Roman" w:cs="Times New Roman" w:eastAsia="Times New Roman" w:hAnsi="Times New Roman"/>
          <w:sz w:val="18"/>
          <w:szCs w:val="18"/>
          <w:color w:val="auto"/>
        </w:rPr>
        <w:t>: The interest so payable, and punctually paid or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on any Interest Payment Date will be paid to the Person in whose name the 2031 Note (or one or more Predecessor Securities) is registered on the close of business on the Regular Record Date for such interest, which shall be the March 12 or September 12,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the 2031 Note (or one or more Predecessor Securities) is registered at the close of business on a Special Record Date for the payment of such Defaulted Interest to be fixed by the Trustee, notice whereof shall be given to Holders of the 2031 Notes not less than 10 days prior to such Special Record Date, or be paid at any time in any other lawful manner not inconsistent with the requirements of any securities exchange on which the 2031 Notes may be listed, and upon such notice as may be required by such exchange, in each case, all as more fully provided in the Indenture.</w:t>
      </w:r>
    </w:p>
    <w:p>
      <w:pPr>
        <w:spacing w:after="0" w:line="185" w:lineRule="exact"/>
        <w:rPr>
          <w:rFonts w:ascii="Times New Roman" w:cs="Times New Roman" w:eastAsia="Times New Roman" w:hAnsi="Times New Roman"/>
          <w:sz w:val="18"/>
          <w:szCs w:val="18"/>
          <w:color w:val="auto"/>
        </w:rPr>
      </w:pPr>
    </w:p>
    <w:p>
      <w:pPr>
        <w:ind w:left="644" w:right="20" w:hanging="644"/>
        <w:spacing w:after="0" w:line="273" w:lineRule="auto"/>
        <w:tabs>
          <w:tab w:leader="none" w:pos="6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Place of Payment for the 2031 Notes</w:t>
      </w:r>
      <w:r>
        <w:rPr>
          <w:rFonts w:ascii="Times New Roman" w:cs="Times New Roman" w:eastAsia="Times New Roman" w:hAnsi="Times New Roman"/>
          <w:sz w:val="17"/>
          <w:szCs w:val="17"/>
          <w:color w:val="auto"/>
        </w:rPr>
        <w:t>: The place of payment of the principal of (and premium, if any) and any such interest on the 2031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Notes will be the office or agency of the Company maintained for that purpose, which initially shall be the Trustee’s corporate trust office in the City of New York, in such coin or currency of the United States of America as at the time of payment is legal tender for payment of public and private debts, including by wire transfer of such payment to the person entitled to receive such payments as specified in the Security Register; provided, however, that at the option of the Company payment of interest may be made by check mailed to the address of the Person entitled thereto as such address shall appear in the Security Register. Notwithstanding the foregoing, payment of any amount payable in respect of a Global Security will be made in accordance with the applicable procedures of the Depositary.</w:t>
      </w:r>
    </w:p>
    <w:p>
      <w:pPr>
        <w:spacing w:after="0" w:line="391"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7" w:name="page48"/>
    <w:bookmarkEnd w:id="47"/>
    <w:p>
      <w:pPr>
        <w:ind w:left="1300" w:right="100" w:hanging="644"/>
        <w:spacing w:after="0" w:line="26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Prior to February 27, 2031 (the “2031 Notes Par Call Date”), the Company may redeem the 2031 Notes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in whole or in part, at any time and from time to time, at a Redemption Price (expressed as a percentage of principal amount and rounded to three decimal places) equal to the greater of:</w:t>
      </w:r>
    </w:p>
    <w:p>
      <w:pPr>
        <w:spacing w:after="0" w:line="174" w:lineRule="exact"/>
        <w:rPr>
          <w:rFonts w:ascii="Times New Roman" w:cs="Times New Roman" w:eastAsia="Times New Roman" w:hAnsi="Times New Roman"/>
          <w:sz w:val="18"/>
          <w:szCs w:val="18"/>
          <w:color w:val="auto"/>
        </w:rPr>
      </w:pPr>
    </w:p>
    <w:p>
      <w:pPr>
        <w:ind w:left="1300" w:right="22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on the 2031 Notes to be redeemed discounted to the 2031 Notes Redemption Date (assuming the 2031 Notes matured on the 2031 Notes Par Call Date) on a semi-annual basis (assuming a 360-day year consisting of twelve 30-day months) at the Treasury Rate (as defined herein) plus 15 basis points less (ii) interest accrued on the principal amount of the 2031 Notes to be redeemed to the 2031 Notes Redemption Date, and</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2031 Notes to be redeemed,</w:t>
      </w:r>
    </w:p>
    <w:p>
      <w:pPr>
        <w:spacing w:after="0" w:line="223"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principal amount of the 2031 Notes being redeemed to, but not including, the 2031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Redemption Date.</w:t>
      </w:r>
    </w:p>
    <w:p>
      <w:pPr>
        <w:spacing w:after="0" w:line="16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On or after the 2031 Notes Par Call Date, the Company may redeem the 2031 Notes, in whole or in part, at any time and from time to time, at a Redemption Price equal to 100% of the principal amount of the 2031 Notes being redeemed plus accrued and unpaid interest thereon to the 2031 Notes Redemption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such optional redemption, the following defined terms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“2031 Notes Redemption Date” means the date fixed for redemption of the 2031 Notes.</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2031 Notes Redemption Date, the yield determined by the Company in accordance with the following two paragraphs.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8" w:name="page49"/>
    <w:bookmarkEnd w:id="48"/>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2031 Notes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2031 Notes Redemption Date to the 2031 Notes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2031 Notes Par Call Date on a straight-line basis (using the actual number of days) using such yields and rounding the result to three decimal places; or</w:t>
      </w:r>
    </w:p>
    <w:p>
      <w:pPr>
        <w:spacing w:after="0" w:line="5" w:lineRule="exact"/>
        <w:rPr>
          <w:sz w:val="20"/>
          <w:szCs w:val="20"/>
          <w:color w:val="auto"/>
        </w:rPr>
      </w:pPr>
    </w:p>
    <w:p>
      <w:pPr>
        <w:ind w:right="20"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2031 Notes Redemption Date.</w:t>
      </w:r>
    </w:p>
    <w:p>
      <w:pPr>
        <w:spacing w:after="0" w:line="18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2031 Notes Redemption Date H.15 TCM is no longer published, the Company shall calculate the Treasury Rate based on the rate per annum equal to the semi-annual equivalent yield to maturity at 11:00 a.m., New York City time, on the second Business Day preceding such 2031 Notes Redemption Date of the United States Treasury security maturing on, or with a maturity that is closest to, the 2031 Notes Par Call Date, as applicable. If there is no United States Treasury security maturing on the 2031 Notes Par Call Date but there are two or more United States Treasury securities with a maturity date equally distant from the 2031 Notes Par Call Date, one with a maturity date preceding the 2031 Notes Par Call Date and one with a maturity date following the 2031 Notes Par Call Date, the Company shall select the United States Treasury security with a maturity date preceding the 2031 Notes Par Call Date. If there are two or more United States Treasury securities maturing on the 2031 Notes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2031 Notes Redemption Date to each Holder of the 2031 Notes to be redeemed.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2031 Notes for redemption will be made pro rata, by lot or by such other method as the Trustee in its sole discretion deems appropriate and fair. No 2031 Notes of a principal amount of US$1,000 or less will be redeemed in part. If any 2031 Note is to be redeemed in part only, the notice of redemption that relates to the 2031 Note will state the portion of the principal amount of the 2031 Note to be redeemed. A new 2031 Note in a principal amount equal to the unredeemed portion of the 2031 Note will be issued in the name of the Holder of the 2031 Note upon surrender for cancellation of the original 2031 Note. For so long as the 2031 Notes are held by the Depositary, the redemption of the 2031 Notes shall be done in accordance with the policies and procedures of the Depositary.</w:t>
      </w:r>
    </w:p>
    <w:p>
      <w:pPr>
        <w:spacing w:after="0" w:line="187"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Notice of redemption of any 2031 Notes given to the Holders of the 2031 Notes may be conditional and, in such case, such notice of redemption shall specify the details and terms of any event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 financing, asset disposition or other transaction) on which such redemption is conditional.</w:t>
      </w:r>
    </w:p>
    <w:p>
      <w:pPr>
        <w:spacing w:after="0" w:line="176"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2031 Notes Redemption Date interest will cease to accrue on the 2031 Notes or portions thereof called for redemption.</w:t>
      </w:r>
    </w:p>
    <w:p>
      <w:pPr>
        <w:spacing w:after="0" w:line="158" w:lineRule="exact"/>
        <w:rPr>
          <w:sz w:val="20"/>
          <w:szCs w:val="20"/>
          <w:color w:val="auto"/>
        </w:rPr>
      </w:pPr>
    </w:p>
    <w:p>
      <w:pPr>
        <w:ind w:left="1300" w:hanging="644"/>
        <w:spacing w:after="0" w:line="255"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The Company will, subject to the exceptions and limitations set forth below, pay to the Holder of a 2031 Note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 non-resident of Canada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such additional amounts as may be necessary so that every net payment on such 2031 Note, after deduction or withholding by the Company or of any Paying Agent for or on account of any present or future tax, assessment or other governmental charge (including penalties, interest and other liabilities related thereto) imposed by the government of Canada (or any political subdivision or taxing authority thereof or therein) (collectively, “Canadian Taxes”) upon or as a result of such payment, will not be less than the amount provided in the 2031 Notes to be then due and payable (and the Company shall remit the full amount withheld to the relevant authority in accordance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make any payment of additional amounts:</w:t>
      </w:r>
    </w:p>
    <w:p>
      <w:pPr>
        <w:spacing w:after="0" w:line="188" w:lineRule="exact"/>
        <w:rPr>
          <w:rFonts w:ascii="Times New Roman" w:cs="Times New Roman" w:eastAsia="Times New Roman" w:hAnsi="Times New Roman"/>
          <w:sz w:val="18"/>
          <w:szCs w:val="18"/>
          <w:color w:val="auto"/>
        </w:rPr>
      </w:pPr>
    </w:p>
    <w:p>
      <w:pPr>
        <w:ind w:left="1960" w:right="20" w:hanging="656"/>
        <w:spacing w:after="0" w:line="270" w:lineRule="auto"/>
        <w:tabs>
          <w:tab w:leader="none" w:pos="19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in respect of whom such Canadian Taxes are required to be withheld or deducted as a result of such person or any other person that has a beneficial interest in respect of any payment under the 2031 Notes (i) not dealing at arm’s length with the Company (within the meaning of the Tax Act), (ii) being a “specified shareholder” (as defined in subsection 18(5) of the Tax Act) of the Company, (iii) not dealing at arm’s length (for the purposes of the Tax Act) with such a “specified shareholder”,</w:t>
      </w:r>
    </w:p>
    <w:p>
      <w:pPr>
        <w:spacing w:after="0" w:line="2"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an entity in respect of which the Company is a “specified entity” as defined in subsection 18.4(1) of the Tax Act, or</w:t>
      </w:r>
    </w:p>
    <w:p>
      <w:pPr>
        <w:spacing w:after="0" w:line="9" w:lineRule="exact"/>
        <w:rPr>
          <w:rFonts w:ascii="Times New Roman" w:cs="Times New Roman" w:eastAsia="Times New Roman" w:hAnsi="Times New Roman"/>
          <w:sz w:val="18"/>
          <w:szCs w:val="18"/>
          <w:color w:val="auto"/>
        </w:rPr>
      </w:pPr>
    </w:p>
    <w:p>
      <w:pPr>
        <w:jc w:val="both"/>
        <w:ind w:left="1960" w:right="500" w:hanging="8"/>
        <w:spacing w:after="0" w:line="255" w:lineRule="auto"/>
        <w:tabs>
          <w:tab w:leader="none" w:pos="221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“reverse hybrid entity” as defined in the proposed amendments to the Tax Act released for consultation by the Department of Finance (Canada) on January 29, 2026 (the “January 29 Tax Proposals”) that would amend certain “hybrid mismatch” provisions of the Tax Act (or any successor provision thereto);</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ind w:left="1960" w:right="60" w:hanging="656"/>
        <w:spacing w:after="0" w:line="266"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by reason of such person being connected with Canada (otherwise than merely by holding or ownership of a 2031 Note or receiving any payments or exercising any rights thereunder), including without limitation a non-resident insurer who carries on an insurance business in Canada and in a country other than Canada;</w:t>
      </w:r>
    </w:p>
    <w:p>
      <w:pPr>
        <w:spacing w:after="0" w:line="175" w:lineRule="exact"/>
        <w:rPr>
          <w:rFonts w:ascii="Times New Roman" w:cs="Times New Roman" w:eastAsia="Times New Roman" w:hAnsi="Times New Roman"/>
          <w:sz w:val="18"/>
          <w:szCs w:val="18"/>
          <w:color w:val="auto"/>
        </w:rPr>
      </w:pPr>
    </w:p>
    <w:p>
      <w:pPr>
        <w:ind w:left="1960" w:right="120" w:hanging="656"/>
        <w:spacing w:after="0" w:line="256"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would not have been so imposed but for: (i) the presentation by the Holder of a 2031 Note for payment on a date more than 30 days after the date on which such payment became due and payable or the date on which payment thereof is duly provided for, whichever occurs later; or (ii) the Holder’s failure to comply with any certification, identification, information, documentation or other reporting requirements if compliance is required by law, regulation, administrative practice or an applicable treaty as a precondition to exemption from or a reduction in the rate of deduction or withholding of, any such Canadian Taxes;</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estate, inheritance, gift, sales, transfer, personal property tax or any similar Canadian Taxes;</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66"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required to be withheld by any Paying Agent from any payment to a person on a 2031 Note if such payment can be made to such person without such withholding by at least one other Paying Agent the identity of which is provided to such person;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is payable otherwise than by withholding from a payment on a 2031 Note;</w:t>
      </w:r>
    </w:p>
    <w:p>
      <w:pPr>
        <w:spacing w:after="0" w:line="225" w:lineRule="exact"/>
        <w:rPr>
          <w:rFonts w:ascii="Times New Roman" w:cs="Times New Roman" w:eastAsia="Times New Roman" w:hAnsi="Times New Roman"/>
          <w:sz w:val="18"/>
          <w:szCs w:val="18"/>
          <w:color w:val="auto"/>
        </w:rPr>
      </w:pPr>
    </w:p>
    <w:p>
      <w:pPr>
        <w:ind w:left="1960" w:hanging="656"/>
        <w:spacing w:after="0" w:line="258"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or deduction imposed pursuant to: (i) Sections 1471 to 1474 of the U.S. Internal Revenue Code of 1986, as amended (“FATCA”), or any successor version thereof, or any similar legislation imposed by any other governmental authority, (ii) any treaty, law, regulation or other official guidance enacted by Canada implementing FATCA or an intergovernmental agreement with respect to FATCA or any similar legislation imposed by any other governmental authority, or (iii) any agreement between the Company or the Guarantors and the United States or any authority thereof implementing FATCA; or</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combination of items (a), (b), (c), (d), (e), (f) and (g);</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nor will additional amounts be paid with respect to any payment on a 2031 Note to a 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Holder of such 2031 Note.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The Company will furnish to the Holders of the 2031 Notes, within 30 days after the date of the payment of any Canadian Taxes due under applicable law, certified copies of tax receipts or other documents evidencing such payment.</w:t>
      </w:r>
    </w:p>
    <w:p>
      <w:pPr>
        <w:spacing w:after="0" w:line="162"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Wherever in the 2031 Notes or the Indenture there is mentioned, in any context, the payment of principal (and premium, if any), interest or any other amount payable under or with respect to the 2031 Notes, such mention shall be deemed to include mention of the payment of additional amounts to the extent that, in such context additional amounts are, were or would be payable in respect thereof.</w:t>
      </w:r>
    </w:p>
    <w:p>
      <w:pPr>
        <w:spacing w:after="0" w:line="172" w:lineRule="exact"/>
        <w:rPr>
          <w:sz w:val="20"/>
          <w:szCs w:val="20"/>
          <w:color w:val="auto"/>
        </w:rPr>
      </w:pPr>
    </w:p>
    <w:p>
      <w:pPr>
        <w:ind w:left="1300" w:hanging="644"/>
        <w:spacing w:after="0" w:line="25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 The 2031 Notes will be subject to redemption at any time at a Redemption Price equal to the principal amount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2031 Notes, together with accrued and unpaid interest to the 2031 Notes Redemption Date, upon the giving of the notice as described below, if the Company (or its successor) determines that (1) as a result of (A) any amendment to or change (including any announced prospective change) in the laws or related regulations of Canada (or the Company’s successors’ jurisdiction of organization) or of any applicable political subdivision or taxing authority (including, for certainty, the January 29 Tax Proposals (or any successor provisions thereto) coming into effect) or (B) any amendment to or change in an interpretation or application of such laws or regulations by any legislative body, court, governmental agency or regulatory authority announced or becoming effective on or after March 24, 2026, the Company has or will become obligated to pay, on the next Interest Payment Date for the 2031 Notes, additional amounts with respect to any notes of the series as described above, or (2) on or after March 24, 2026, any action has been taken by any taxing authority of, or any decision has been rendered by a court in, Canada (or the Company’s successors’ jurisdiction of organization) or any applicable political subdivision or taxing authority, including any of those actions specified in (1) above, whether or not the action was taken or decision rendered with respect to the Company, or any change, amendment, application or interpretation is officially proposed, which, in the opinion of the Company’s counsel, will result in the Company becoming obligated to pay, on the next Interest Payment Date, additional amounts with respect to any note of the series, and the Company has determined that the obligation cannot be avoided by the use of reasonable available measures. Notice of the redemption of 2031 Notes will be given once not more than 60 nor less than 10 days prior to the 2031 Notes Redemption Date and will specify the date fixed for redemption.</w:t>
      </w:r>
    </w:p>
    <w:p>
      <w:pPr>
        <w:spacing w:after="0" w:line="194" w:lineRule="exact"/>
        <w:rPr>
          <w:rFonts w:ascii="Times New Roman" w:cs="Times New Roman" w:eastAsia="Times New Roman" w:hAnsi="Times New Roman"/>
          <w:sz w:val="18"/>
          <w:szCs w:val="18"/>
          <w:color w:val="auto"/>
        </w:rPr>
      </w:pPr>
    </w:p>
    <w:p>
      <w:pPr>
        <w:ind w:left="1300" w:right="540" w:hanging="644"/>
        <w:spacing w:after="0" w:line="28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w:t>
      </w:r>
      <w:r>
        <w:rPr>
          <w:rFonts w:ascii="Times New Roman" w:cs="Times New Roman" w:eastAsia="Times New Roman" w:hAnsi="Times New Roman"/>
          <w:sz w:val="18"/>
          <w:szCs w:val="18"/>
          <w:color w:val="auto"/>
        </w:rPr>
        <w:t>: The 2031 Notes are issuable only in registered form without coupons in denominations of US$2,000 and integral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multiples of US$1,000 thereof.</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Sinking Fund</w:t>
      </w:r>
      <w:r>
        <w:rPr>
          <w:rFonts w:ascii="Times New Roman" w:cs="Times New Roman" w:eastAsia="Times New Roman" w:hAnsi="Times New Roman"/>
          <w:sz w:val="18"/>
          <w:szCs w:val="18"/>
          <w:color w:val="auto"/>
        </w:rPr>
        <w:t>: The 2031 Notes will not be subject to any sinking fund.</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Defeasance and Covenant Defeasance</w:t>
      </w:r>
      <w:r>
        <w:rPr>
          <w:rFonts w:ascii="Times New Roman" w:cs="Times New Roman" w:eastAsia="Times New Roman" w:hAnsi="Times New Roman"/>
          <w:sz w:val="18"/>
          <w:szCs w:val="18"/>
          <w:color w:val="auto"/>
        </w:rPr>
        <w:t>: The 2031 Notes will be subject to defeasance and discharge as provided in Sections 1302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1303 of the Indenture.</w:t>
      </w:r>
    </w:p>
    <w:p>
      <w:pPr>
        <w:spacing w:after="0" w:line="154" w:lineRule="exact"/>
        <w:rPr>
          <w:rFonts w:ascii="Times New Roman" w:cs="Times New Roman" w:eastAsia="Times New Roman" w:hAnsi="Times New Roman"/>
          <w:sz w:val="18"/>
          <w:szCs w:val="18"/>
          <w:color w:val="auto"/>
        </w:rPr>
      </w:pPr>
    </w:p>
    <w:p>
      <w:pPr>
        <w:ind w:left="1300" w:right="200" w:hanging="644"/>
        <w:spacing w:after="0" w:line="26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of Securities</w:t>
      </w:r>
      <w:r>
        <w:rPr>
          <w:rFonts w:ascii="Times New Roman" w:cs="Times New Roman" w:eastAsia="Times New Roman" w:hAnsi="Times New Roman"/>
          <w:sz w:val="18"/>
          <w:szCs w:val="18"/>
          <w:color w:val="auto"/>
        </w:rPr>
        <w:t>: The 2031 Notes will be initially represented by fully registered global notes deposited in book-entry form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 Depository Trust Company (the “Depositary”), and registered in the name of Cede &amp; Co., as nominee of the Depositary, or such other name as may be requested by an authorized representative of the Depositary. The 2031 Notes may be transferred or exchanged only through the Depositary and its participants, except under the circumstances specified in the Indenture.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jc w:val="center"/>
        <w:ind w:right="636"/>
        <w:spacing w:after="0"/>
        <w:rPr>
          <w:sz w:val="20"/>
          <w:szCs w:val="20"/>
          <w:color w:val="auto"/>
        </w:rPr>
      </w:pPr>
      <w:r>
        <w:rPr>
          <w:rFonts w:ascii="Times New Roman" w:cs="Times New Roman" w:eastAsia="Times New Roman" w:hAnsi="Times New Roman"/>
          <w:sz w:val="18"/>
          <w:szCs w:val="18"/>
          <w:u w:val="single" w:color="auto"/>
          <w:color w:val="auto"/>
        </w:rPr>
        <w:t>Terms of US$1,000,000,000 5.450% Senior Notes due 2036</w:t>
      </w:r>
    </w:p>
    <w:p>
      <w:pPr>
        <w:spacing w:after="0" w:line="225"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given to such terms in the Indenture.</w:t>
      </w:r>
    </w:p>
    <w:p>
      <w:pPr>
        <w:spacing w:after="0" w:line="221" w:lineRule="exact"/>
        <w:rPr>
          <w:sz w:val="20"/>
          <w:szCs w:val="20"/>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of Securities</w:t>
      </w:r>
      <w:r>
        <w:rPr>
          <w:rFonts w:ascii="Times New Roman" w:cs="Times New Roman" w:eastAsia="Times New Roman" w:hAnsi="Times New Roman"/>
          <w:sz w:val="18"/>
          <w:szCs w:val="18"/>
          <w:color w:val="auto"/>
        </w:rPr>
        <w:t>: “5.450% Senior Notes due 2036” (the “2036 Notes”).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Aggregate Principal Amount of 2036 Notes to be initially issued and sold to the Underwriters for Resale to the Public</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US$1,000,000,000. The Company may, at any time, and from time to time, issue additional 2036 Notes under the Indenture in unlimited amounts having the same terms as the 2036 Notes, and such additional 2036 Notes will, together with the then existing 2036 Notes and any notes which may be issued in exchange or substitution therefor, constitute a single series of notes under the Indenture.</w:t>
      </w:r>
    </w:p>
    <w:p>
      <w:pPr>
        <w:spacing w:after="0" w:line="1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In accordance with Section 1401 of the Indenture, the 2036 Notes are guaranteed by both Guarantors.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March 27, 2036 (the “2036 Notes Maturity Date”).</w:t>
      </w:r>
    </w:p>
    <w:p>
      <w:pPr>
        <w:spacing w:after="0" w:line="225" w:lineRule="exact"/>
        <w:rPr>
          <w:rFonts w:ascii="Times New Roman" w:cs="Times New Roman" w:eastAsia="Times New Roman" w:hAnsi="Times New Roman"/>
          <w:sz w:val="18"/>
          <w:szCs w:val="18"/>
          <w:color w:val="auto"/>
        </w:rPr>
      </w:pPr>
    </w:p>
    <w:p>
      <w:pPr>
        <w:ind w:left="644" w:right="420" w:hanging="644"/>
        <w:spacing w:after="0" w:line="286"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The 2036 Notes will bear interest at the rate of 5.450% per annum, accruing from March 27, 2026, or from the most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Payment Date to which interest has been paid or duly provided for.</w:t>
      </w:r>
    </w:p>
    <w:p>
      <w:pPr>
        <w:spacing w:after="0" w:line="154" w:lineRule="exact"/>
        <w:rPr>
          <w:rFonts w:ascii="Times New Roman" w:cs="Times New Roman" w:eastAsia="Times New Roman" w:hAnsi="Times New Roman"/>
          <w:sz w:val="18"/>
          <w:szCs w:val="18"/>
          <w:color w:val="auto"/>
        </w:rPr>
      </w:pPr>
    </w:p>
    <w:p>
      <w:pPr>
        <w:ind w:left="644" w:right="40" w:hanging="644"/>
        <w:spacing w:after="0" w:line="286"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Payment Dates</w:t>
      </w:r>
      <w:r>
        <w:rPr>
          <w:rFonts w:ascii="Times New Roman" w:cs="Times New Roman" w:eastAsia="Times New Roman" w:hAnsi="Times New Roman"/>
          <w:sz w:val="18"/>
          <w:szCs w:val="18"/>
          <w:color w:val="auto"/>
        </w:rPr>
        <w:t>: March 27 and September 27 of each year, beginning September 27, 2026, subject to adjustment if any such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Business Day.</w:t>
      </w:r>
    </w:p>
    <w:p>
      <w:pPr>
        <w:spacing w:after="0" w:line="154" w:lineRule="exact"/>
        <w:rPr>
          <w:rFonts w:ascii="Times New Roman" w:cs="Times New Roman" w:eastAsia="Times New Roman" w:hAnsi="Times New Roman"/>
          <w:sz w:val="18"/>
          <w:szCs w:val="18"/>
          <w:color w:val="auto"/>
        </w:rPr>
      </w:pPr>
    </w:p>
    <w:p>
      <w:pPr>
        <w:ind w:left="644" w:hanging="644"/>
        <w:spacing w:after="0" w:line="254"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Record Dates for Interest Payable on any Interest Payment Date</w:t>
      </w:r>
      <w:r>
        <w:rPr>
          <w:rFonts w:ascii="Times New Roman" w:cs="Times New Roman" w:eastAsia="Times New Roman" w:hAnsi="Times New Roman"/>
          <w:sz w:val="18"/>
          <w:szCs w:val="18"/>
          <w:color w:val="auto"/>
        </w:rPr>
        <w:t>: The interest so payable, and punctually paid or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on any Interest Payment Date will be paid to the Person in whose name the 2036 Note (or one or more Predecessor Securities) is registered on the close of business on the Regular Record Date for such interest, which shall be the March 12 or September 12,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the 2036 Note (or one or more Predecessor Securities) is registered at the close of business on a Special Record Date for the payment of such Defaulted Interest to be fixed by the Trustee, notice whereof shall be given to Holders of the 2036 Notes not less than 10 days prior to such Special Record Date, or be paid at any time in any other lawful manner not inconsistent with the requirements of any securities exchange on which the 2036 Notes may be listed, and upon such notice as may be required by such exchange, in each case, all as more fully provided in the Indenture.</w:t>
      </w:r>
    </w:p>
    <w:p>
      <w:pPr>
        <w:spacing w:after="0" w:line="185" w:lineRule="exact"/>
        <w:rPr>
          <w:rFonts w:ascii="Times New Roman" w:cs="Times New Roman" w:eastAsia="Times New Roman" w:hAnsi="Times New Roman"/>
          <w:sz w:val="18"/>
          <w:szCs w:val="18"/>
          <w:color w:val="auto"/>
        </w:rPr>
      </w:pPr>
    </w:p>
    <w:p>
      <w:pPr>
        <w:ind w:left="644" w:right="20" w:hanging="644"/>
        <w:spacing w:after="0" w:line="273" w:lineRule="auto"/>
        <w:tabs>
          <w:tab w:leader="none" w:pos="6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Place of Payment for the 2036 Notes</w:t>
      </w:r>
      <w:r>
        <w:rPr>
          <w:rFonts w:ascii="Times New Roman" w:cs="Times New Roman" w:eastAsia="Times New Roman" w:hAnsi="Times New Roman"/>
          <w:sz w:val="17"/>
          <w:szCs w:val="17"/>
          <w:color w:val="auto"/>
        </w:rPr>
        <w:t>: The place of payment of the principal of (and premium, if any) and any such interest on the 2036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Notes will be the office or agency of the Company maintained for that purpose, which initially shall be the Trustee’s corporate trust office in the City of New York, in such coin or currency of the United States of America as at the time of payment is legal tender for payment of public and private debts, including by wire transfer of such payment to the person entitled to receive such payments as specified in the Security Register; provided, however, that at the option of the Company payment of interest may be made by check mailed to the address of the Person entitled thereto as such address shall appear in the Security Register. Notwithstanding the foregoing, payment of any amount payable in respect of a Global Security will be made in accordance with the applicable procedures of the Depositary.</w:t>
      </w:r>
    </w:p>
    <w:p>
      <w:pPr>
        <w:spacing w:after="0" w:line="391"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3" w:name="page54"/>
    <w:bookmarkEnd w:id="53"/>
    <w:p>
      <w:pPr>
        <w:ind w:left="1300" w:right="100" w:hanging="644"/>
        <w:spacing w:after="0" w:line="26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Prior to December 27, 2035 (the “2036 Notes Par Call Date”), the Company may redeem the 2036 Notes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in whole or in part, at any time and from time to time, at a Redemption Price (expressed as a percentage of principal amount and rounded to three decimal places) equal to the greater of:</w:t>
      </w:r>
    </w:p>
    <w:p>
      <w:pPr>
        <w:spacing w:after="0" w:line="174" w:lineRule="exact"/>
        <w:rPr>
          <w:rFonts w:ascii="Times New Roman" w:cs="Times New Roman" w:eastAsia="Times New Roman" w:hAnsi="Times New Roman"/>
          <w:sz w:val="18"/>
          <w:szCs w:val="18"/>
          <w:color w:val="auto"/>
        </w:rPr>
      </w:pPr>
    </w:p>
    <w:p>
      <w:pPr>
        <w:ind w:left="1300" w:right="220" w:hanging="320"/>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on the 2036 Notes to be redeemed discounted to the 2036 Notes Redemption Date (assuming the 2036 Notes matured on the 2036 Notes Par Call Date) on a semi-annual basis (assuming a 360-day year consisting of twelve 30-day months) at the Treasury Rate (as defined herein) plus 20 basis points less (ii) interest accrued on the principal amount of the 2036 Notes to be redeemed to the 2036 Notes Redemption Date, and</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2036 Notes to be redeemed,</w:t>
      </w:r>
    </w:p>
    <w:p>
      <w:pPr>
        <w:spacing w:after="0" w:line="223"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principal amount of the 2036 Notes being redeemed to, but not including, the 2036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Redemption Date.</w:t>
      </w:r>
    </w:p>
    <w:p>
      <w:pPr>
        <w:spacing w:after="0" w:line="16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On or after the 2036 Notes Par Call Date, the Company may redeem the 2036 Notes, in whole or in part, at any time and from time to time, at a Redemption Price equal to 100% of the principal amount of the 2036 Notes being redeemed plus accrued and unpaid interest thereon to the 2036 Notes Redemption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such optional redemption, the following defined terms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“2036 Notes Redemption Date” means the date fixed for redemption of the 2036 Notes.</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2036 Notes Redemption Date, the yield determined by the Company in accordance with the following two paragraphs.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4" w:name="page55"/>
    <w:bookmarkEnd w:id="54"/>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2036 Notes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2036 Notes Redemption Date to the 2036 Notes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2036 Notes Par Call Date on a straight-line basis (using the actual number of days) using such yields and rounding the result to three decimal places; or</w:t>
      </w:r>
    </w:p>
    <w:p>
      <w:pPr>
        <w:spacing w:after="0" w:line="5" w:lineRule="exact"/>
        <w:rPr>
          <w:sz w:val="20"/>
          <w:szCs w:val="20"/>
          <w:color w:val="auto"/>
        </w:rPr>
      </w:pPr>
    </w:p>
    <w:p>
      <w:pPr>
        <w:ind w:right="20"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2036 Notes Redemption Date.</w:t>
      </w:r>
    </w:p>
    <w:p>
      <w:pPr>
        <w:spacing w:after="0" w:line="18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2036 Notes Redemption Date H.15 TCM is no longer published, the Company shall calculate the Treasury Rate based on the rate per annum equal to the semi-annual equivalent yield to maturity at 11:00 a.m., New York City time, on the second Business Day preceding such 2036 Notes Redemption Date of the United States Treasury security maturing on, or with a maturity that is closest to, the 2036 Notes Par Call Date, as applicable. If there is no United States Treasury security maturing on the 2036 Notes Par Call Date but there are two or more United States Treasury securities with a maturity date equally distant from the 2036 Notes Par Call Date, one with a maturity date preceding the 2036 Notes Par Call Date and one with a maturity date following the 2036 Notes Par Call Date, the Company shall select the United States Treasury security with a maturity date preceding the 2036 Notes Par Call Date. If there are two or more United States Treasury securities maturing on the 2036 Notes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2036 Notes Redemption Date to each Holder of the 2036 Notes to be redeemed.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2036 Notes for redemption will be made pro rata, by lot or by such other method as the Trustee in its sole discretion deems appropriate and fair. No 2036 Notes of a principal amount of US$1,000 or less will be redeemed in part. If any 2036 Note is to be redeemed in part only, the notice of redemption that relates to the 2036 Note will state the portion of the principal amount of the 2036 Note to be redeemed. A new 2036 Note in a principal amount equal to the unredeemed portion of the 2036 Note will be issued in the name of the Holder of the 2036 Note upon surrender for cancellation of the original 2036 Note. For so long as the 2036 Notes are held by the Depositary, the redemption of the 2036 Notes shall be done in accordance with the policies and procedures of the Depositary.</w:t>
      </w:r>
    </w:p>
    <w:p>
      <w:pPr>
        <w:spacing w:after="0" w:line="187"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Notice of redemption of any 2036 Notes given to the Holders of the 2036 Notes may be conditional and, in such case, such notice of redemption shall specify the details and terms of any event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 financing, asset disposition or other transaction) on which such redemption is conditional.</w:t>
      </w:r>
    </w:p>
    <w:p>
      <w:pPr>
        <w:spacing w:after="0" w:line="176"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2036 Notes Redemption Date interest will cease to accrue on the 2036 Notes or portions thereof called for redemption.</w:t>
      </w:r>
    </w:p>
    <w:p>
      <w:pPr>
        <w:spacing w:after="0" w:line="158" w:lineRule="exact"/>
        <w:rPr>
          <w:sz w:val="20"/>
          <w:szCs w:val="20"/>
          <w:color w:val="auto"/>
        </w:rPr>
      </w:pPr>
    </w:p>
    <w:p>
      <w:pPr>
        <w:ind w:left="1300" w:hanging="644"/>
        <w:spacing w:after="0" w:line="255"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The Company will, subject to the exceptions and limitations set forth below, pay to the Holder of a 2036 Note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 non-resident of Canada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such additional amounts as may be necessary so that every net payment on such 2036 Note, after deduction or withholding by the Company or of any Paying Agent for or on account of any present or future tax, assessment or other governmental charge (including penalties, interest and other liabilities related thereto) imposed by the government of Canada (or any political subdivision or taxing authority thereof or therein) (collectively, “Canadian Taxes”) upon or as a result of such payment, will not be less than the amount provided in the 2036 Notes to be then due and payable (and the Company shall remit the full amount withheld to the relevant authority in accordance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make any payment of additional amounts:</w:t>
      </w:r>
    </w:p>
    <w:p>
      <w:pPr>
        <w:spacing w:after="0" w:line="188" w:lineRule="exact"/>
        <w:rPr>
          <w:rFonts w:ascii="Times New Roman" w:cs="Times New Roman" w:eastAsia="Times New Roman" w:hAnsi="Times New Roman"/>
          <w:sz w:val="18"/>
          <w:szCs w:val="18"/>
          <w:color w:val="auto"/>
        </w:rPr>
      </w:pPr>
    </w:p>
    <w:p>
      <w:pPr>
        <w:ind w:left="1960" w:right="20" w:hanging="656"/>
        <w:spacing w:after="0" w:line="270" w:lineRule="auto"/>
        <w:tabs>
          <w:tab w:leader="none" w:pos="19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in respect of whom such Canadian Taxes are required to be withheld or deducted as a result of such person or any other person that has a beneficial interest in respect of any payment under the 2036 Notes (i) not dealing at arm’s length with the Company (within the meaning of the Tax Act), (ii) being a “specified shareholder” (as defined in subsection 18(5) of the Tax Act) of the Company, (iii) not dealing at arm’s length (for the purposes of the Tax Act) with such a “specified shareholder”,</w:t>
      </w:r>
    </w:p>
    <w:p>
      <w:pPr>
        <w:spacing w:after="0" w:line="2"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an entity in respect of which the Company is a “specified entity” as defined in subsection 18.4(1) of the Tax Act, or</w:t>
      </w:r>
    </w:p>
    <w:p>
      <w:pPr>
        <w:spacing w:after="0" w:line="9" w:lineRule="exact"/>
        <w:rPr>
          <w:rFonts w:ascii="Times New Roman" w:cs="Times New Roman" w:eastAsia="Times New Roman" w:hAnsi="Times New Roman"/>
          <w:sz w:val="18"/>
          <w:szCs w:val="18"/>
          <w:color w:val="auto"/>
        </w:rPr>
      </w:pPr>
    </w:p>
    <w:p>
      <w:pPr>
        <w:jc w:val="both"/>
        <w:ind w:left="1960" w:right="500" w:hanging="8"/>
        <w:spacing w:after="0" w:line="255" w:lineRule="auto"/>
        <w:tabs>
          <w:tab w:leader="none" w:pos="221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“reverse hybrid entity” as defined in the proposed amendments to the Tax Act released for consultation by the Department of Finance (Canada) on January 29, 2026 (the “January 29 Tax Proposals”) that would amend certain “hybrid mismatch” provisions of the Tax Act (or any successor provision thereto);</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6" w:name="page57"/>
    <w:bookmarkEnd w:id="56"/>
    <w:p>
      <w:pPr>
        <w:ind w:left="1960" w:right="60" w:hanging="656"/>
        <w:spacing w:after="0" w:line="266"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by reason of such person being connected with Canada (otherwise than merely by holding or ownership of a 2036 Note or receiving any payments or exercising any rights thereunder), including without limitation a non-resident insurer who carries on an insurance business in Canada and in a country other than Canada;</w:t>
      </w:r>
    </w:p>
    <w:p>
      <w:pPr>
        <w:spacing w:after="0" w:line="175" w:lineRule="exact"/>
        <w:rPr>
          <w:rFonts w:ascii="Times New Roman" w:cs="Times New Roman" w:eastAsia="Times New Roman" w:hAnsi="Times New Roman"/>
          <w:sz w:val="18"/>
          <w:szCs w:val="18"/>
          <w:color w:val="auto"/>
        </w:rPr>
      </w:pPr>
    </w:p>
    <w:p>
      <w:pPr>
        <w:ind w:left="1960" w:right="120" w:hanging="656"/>
        <w:spacing w:after="0" w:line="256"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would not have been so imposed but for: (i) the presentation by the Holder of a 2036 Note for payment on a date more than 30 days after the date on which such payment became due and payable or the date on which payment thereof is duly provided for, whichever occurs later; or (ii) the Holder’s failure to comply with any certification, identification, information, documentation or other reporting requirements if compliance is required by law, regulation, administrative practice or an applicable treaty as a precondition to exemption from or a reduction in the rate of deduction or withholding of, any such Canadian Taxes;</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estate, inheritance, gift, sales, transfer, personal property tax or any similar Canadian Taxes;</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66"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required to be withheld by any Paying Agent from any payment to a person on a 2036 Note if such payment can be made to such person without such withholding by at least one other Paying Agent the identity of which is provided to such person;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is payable otherwise than by withholding from a payment on a 2036 Note;</w:t>
      </w:r>
    </w:p>
    <w:p>
      <w:pPr>
        <w:spacing w:after="0" w:line="225" w:lineRule="exact"/>
        <w:rPr>
          <w:rFonts w:ascii="Times New Roman" w:cs="Times New Roman" w:eastAsia="Times New Roman" w:hAnsi="Times New Roman"/>
          <w:sz w:val="18"/>
          <w:szCs w:val="18"/>
          <w:color w:val="auto"/>
        </w:rPr>
      </w:pPr>
    </w:p>
    <w:p>
      <w:pPr>
        <w:ind w:left="1960" w:hanging="656"/>
        <w:spacing w:after="0" w:line="258"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or deduction imposed pursuant to: (i) Sections 1471 to 1474 of the U.S. Internal Revenue Code of 1986, as amended (“FATCA”), or any successor version thereof, or any similar legislation imposed by any other governmental authority, (ii) any treaty, law, regulation or other official guidance enacted by Canada implementing FATCA or an intergovernmental agreement with respect to FATCA or any similar legislation imposed by any other governmental authority, or (iii) any agreement between the Company or the Guarantors and the United States or any authority thereof implementing FATCA; or</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combination of items (a), (b), (c), (d), (e), (f) and (g);</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nor will additional amounts be paid with respect to any payment on a 2036 Note to a 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Holder of such 2036 Note.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The Company will furnish to the Holders of the 2036 Notes, within 30 days after the date of the payment of any Canadian Taxes due under applicable law, certified copies of tax receipts or other documents evidencing such payment.</w:t>
      </w:r>
    </w:p>
    <w:p>
      <w:pPr>
        <w:spacing w:after="0" w:line="162"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Wherever in the 2036 Notes or the Indenture there is mentioned, in any context, the payment of principal (and premium, if any), interest or any other amount payable under or with respect to the 2036 Notes, such mention shall be deemed to include mention of the payment of additional amounts to the extent that, in such context additional amounts are, were or would be payable in respect thereof.</w:t>
      </w:r>
    </w:p>
    <w:p>
      <w:pPr>
        <w:spacing w:after="0" w:line="172" w:lineRule="exact"/>
        <w:rPr>
          <w:sz w:val="20"/>
          <w:szCs w:val="20"/>
          <w:color w:val="auto"/>
        </w:rPr>
      </w:pPr>
    </w:p>
    <w:p>
      <w:pPr>
        <w:ind w:left="1300" w:hanging="644"/>
        <w:spacing w:after="0" w:line="25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 The 2036 Notes will be subject to redemption at any time at a Redemption Price equal to the principal amount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2036 Notes, together with accrued and unpaid interest to the 2036 Notes Redemption Date, upon the giving of the notice as described below, if the Company (or its successor) determines that (1) as a result of (A) any amendment to or change (including any announced prospective change) in the laws or related regulations of Canada (or the Company’s successors’ jurisdiction of organization) or of any applicable political subdivision or taxing authority (including, for certainty, the January 29 Tax Proposals (or any successor provisions thereto) coming into effect) or (B) any amendment to or change in an interpretation or application of such laws or regulations by any legislative body, court, governmental agency or regulatory authority announced or becoming effective on or after March 24, 2026, the Company has or will become obligated to pay, on the next Interest Payment Date for the 2036 Notes, additional amounts with respect to any notes of the series as described above, or (2) on or after March 24, 2026, any action has been taken by any taxing authority of, or any decision has been rendered by a court in, Canada (or the Company’s successors’ jurisdiction of organization) or any applicable political subdivision or taxing authority, including any of those actions specified in (1) above, whether or not the action was taken or decision rendered with respect to the Company, or any change, amendment, application or interpretation is officially proposed, which, in the opinion of the Company’s counsel, will result in the Company becoming obligated to pay, on the next Interest Payment Date, additional amounts with respect to any note of the series, and the Company has determined that the obligation cannot be avoided by the use of reasonable available measures. Notice of the redemption of 2036 Notes will be given once not more than 60 nor less than 10 days prior to the 2036 Notes Redemption Date and will specify the date fixed for redemption.</w:t>
      </w:r>
    </w:p>
    <w:p>
      <w:pPr>
        <w:spacing w:after="0" w:line="194" w:lineRule="exact"/>
        <w:rPr>
          <w:rFonts w:ascii="Times New Roman" w:cs="Times New Roman" w:eastAsia="Times New Roman" w:hAnsi="Times New Roman"/>
          <w:sz w:val="18"/>
          <w:szCs w:val="18"/>
          <w:color w:val="auto"/>
        </w:rPr>
      </w:pPr>
    </w:p>
    <w:p>
      <w:pPr>
        <w:ind w:left="1300" w:right="540" w:hanging="644"/>
        <w:spacing w:after="0" w:line="28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w:t>
      </w:r>
      <w:r>
        <w:rPr>
          <w:rFonts w:ascii="Times New Roman" w:cs="Times New Roman" w:eastAsia="Times New Roman" w:hAnsi="Times New Roman"/>
          <w:sz w:val="18"/>
          <w:szCs w:val="18"/>
          <w:color w:val="auto"/>
        </w:rPr>
        <w:t>: The 2036 Notes are issuable only in registered form without coupons in denominations of US$2,000 and integral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multiples of US$1,000 thereof.</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Sinking Fund</w:t>
      </w:r>
      <w:r>
        <w:rPr>
          <w:rFonts w:ascii="Times New Roman" w:cs="Times New Roman" w:eastAsia="Times New Roman" w:hAnsi="Times New Roman"/>
          <w:sz w:val="18"/>
          <w:szCs w:val="18"/>
          <w:color w:val="auto"/>
        </w:rPr>
        <w:t>: The 2036 Notes will not be subject to any sinking fund.</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Defeasance and Covenant Defeasance</w:t>
      </w:r>
      <w:r>
        <w:rPr>
          <w:rFonts w:ascii="Times New Roman" w:cs="Times New Roman" w:eastAsia="Times New Roman" w:hAnsi="Times New Roman"/>
          <w:sz w:val="18"/>
          <w:szCs w:val="18"/>
          <w:color w:val="auto"/>
        </w:rPr>
        <w:t>: The 2036 Notes will be subject to defeasance and discharge as provided in Sections 1302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1303 of the Indenture.</w:t>
      </w:r>
    </w:p>
    <w:p>
      <w:pPr>
        <w:spacing w:after="0" w:line="154" w:lineRule="exact"/>
        <w:rPr>
          <w:rFonts w:ascii="Times New Roman" w:cs="Times New Roman" w:eastAsia="Times New Roman" w:hAnsi="Times New Roman"/>
          <w:sz w:val="18"/>
          <w:szCs w:val="18"/>
          <w:color w:val="auto"/>
        </w:rPr>
      </w:pPr>
    </w:p>
    <w:p>
      <w:pPr>
        <w:ind w:left="1300" w:right="200" w:hanging="644"/>
        <w:spacing w:after="0" w:line="26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of Securities</w:t>
      </w:r>
      <w:r>
        <w:rPr>
          <w:rFonts w:ascii="Times New Roman" w:cs="Times New Roman" w:eastAsia="Times New Roman" w:hAnsi="Times New Roman"/>
          <w:sz w:val="18"/>
          <w:szCs w:val="18"/>
          <w:color w:val="auto"/>
        </w:rPr>
        <w:t>: The 2036 Notes will be initially represented by fully registered global notes deposited in book-entry form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The Depository Trust Company (the “Depositary”), and registered in the name of Cede &amp; Co., as nominee of the Depositary, or such other name as may be requested by an authorized representative of the Depositary. The 2036 Notes may be transferred or exchanged only through the Depositary and its participants, except under the circumstances specified in the Indenture.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the 2031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9" w:name="page60"/>
    <w:bookmarkEnd w:id="59"/>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NOTE IS A GLOBAL SECURITY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4.850% Senior Notes due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29250N CQ6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US29250NCQ60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 R-1</w:t>
            </w:r>
          </w:p>
        </w:tc>
        <w:tc>
          <w:tcPr>
            <w:tcW w:w="5940" w:type="dxa"/>
            <w:vAlign w:val="bottom"/>
          </w:tcPr>
          <w:p>
            <w:pPr>
              <w:ind w:left="4720"/>
              <w:spacing w:after="0"/>
              <w:rPr>
                <w:sz w:val="20"/>
                <w:szCs w:val="20"/>
                <w:color w:val="auto"/>
              </w:rPr>
            </w:pPr>
            <w:r>
              <w:rPr>
                <w:rFonts w:ascii="Times New Roman" w:cs="Times New Roman" w:eastAsia="Times New Roman" w:hAnsi="Times New Roman"/>
                <w:sz w:val="18"/>
                <w:szCs w:val="18"/>
                <w:color w:val="auto"/>
                <w:w w:val="98"/>
              </w:rPr>
              <w:t>US$500,000,000</w:t>
            </w:r>
          </w:p>
        </w:tc>
      </w:tr>
    </w:tbl>
    <w:p>
      <w:pPr>
        <w:spacing w:after="0" w:line="198"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18"/>
          <w:szCs w:val="18"/>
          <w:color w:val="auto"/>
        </w:rPr>
        <w:t>ENBRIDGE INC., a corporation duly incorporated under the Companies Act of the Northwest Territories and continued and existing under the Canada Business Corporations Act (herein called the “Company,” which term includes any successor Person under the Indenture hereinafter referred to), for value received, hereby promises to pay to CEDE &amp; CO., or registered assigns, the principal sum of US$500,000,000 on March 27, 2031, and to pay interest thereon from March 27, 2026 or from the most recent Interest Payment Date to which interest has been paid or duly provided for, semi-annually on March 27 and September 27 in each year, commencing September 27, 2026 at the rate of 4.850% per annum, until the principal hereof is paid or made available for payment. 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which shall be March 12 or September 12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Special Record Date for the payment of such Defaulted Interest to be fixed by the Trustee, notice whereof shall be given to Holders of the Notes of this series not less than 10 days prior to such Special Record Date, or be paid at any time in any other lawful manner not inconsistent with the requirements of any securities exchange on which the Notes of this series may be listed, and upon such notice as may be required by such exchange, in each case, all as more fully provided in said Indenture.</w:t>
      </w:r>
    </w:p>
    <w:p>
      <w:pPr>
        <w:spacing w:after="0" w:line="19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Note will be made at the office or agency of the Company maintained for that purpose in the City of New York or Calgary, Alberta, Canada, in such coin or currency of the United States of America as at the time of payment is legal tender for payment of public and private debts, including by wire transfer of such payment to the person entitled to receive such payments as specified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 Notwithstanding the foregoing, payment of any amount payable in respect of a Global Security will be made in accordance with the applicable procedures of the Depositary.</w:t>
      </w:r>
    </w:p>
    <w:p>
      <w:pPr>
        <w:spacing w:after="0" w:line="18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electronic signature, this Note shall not be entitled to any benefit under the Indenture or be valid or obligatory for any purpose.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Jonathan E. Gould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Treasury,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Risk &amp; Pensions</w:t>
      </w: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Taniguchi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Legal &amp; Corporate Secretary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2" w:name="page63"/>
    <w:bookmarkEnd w:id="62"/>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 of Authentication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3" w:name="page64"/>
    <w:bookmarkEnd w:id="63"/>
    <w:p>
      <w:pPr>
        <w:jc w:val="center"/>
        <w:ind w:right="-79"/>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4.850% Senior Notes due 2031</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“Notes”), issued and to be issued in one or more series under an Indenture, dated as of February 25, 2005, between the Company and Deutsche Bank Trust Company Americas, as Trustee (herein called the “Trustee,” which term includes any successor trustee under the Indenture), as amended and supplemented by the First Supplemental Indenture, dated as of March 1, 2012, between the Company and the Trustee, the Sixth Supplemental Indenture, dated as of May 13, 2019, among the Company, Spectra Energy Partners, LP (“SEP”), Enbridge Energy Partners, L.P. (“EEP” and, together with SEP, the “Guarantors”) and the Trustee and the Eighth Supplemental Indenture, dated as of June 28, 2021, among the Company, the Guarantors and the Trustee (herein called the “Indenture,” which term shall have the meaning assigned to it in such instrument), and reference is hereby made to the Indenture for a statement of the respective rights, limitations of rights, duties and immunities thereunder of the Company, the Guarantors, the Trustee and the Holders of the Notes and of the terms upon which the Notes are, and are to be, authenticated and delivered. This Note is one of the series designated as the 4.850% Senior Notes due 2031 of the Company, issued in initial aggregate principal amount of US$1,000,000,000.</w:t>
      </w:r>
    </w:p>
    <w:p>
      <w:pPr>
        <w:spacing w:after="0" w:line="194"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The Company will, subject to the exceptions and limitations set forth below, pay to the Holder of a Note who is a non-resident of Canada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such additional amounts as may be necessary so that every net payment on such Note, after deduction or withholding by the Company or of any Paying Agent for or on account of any present or future tax, assessment or other governmental charge (including penalties, interest and other liabilities related thereto) imposed by the government of Canada (or any political subdivision or taxing authority thereof or therein) (collectively, “Canadian Taxes”) upon or as a result of such payment, will not be less than the amount provided in the Notes to be then due and payable (and the Company shall remit the full amount withheld to the relevant authority in accordance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make any payment of additional amounts:</w:t>
      </w:r>
    </w:p>
    <w:p>
      <w:pPr>
        <w:spacing w:after="0" w:line="189" w:lineRule="exact"/>
        <w:rPr>
          <w:sz w:val="20"/>
          <w:szCs w:val="20"/>
          <w:color w:val="auto"/>
        </w:rPr>
      </w:pPr>
    </w:p>
    <w:p>
      <w:pPr>
        <w:ind w:left="1300" w:right="20" w:hanging="644"/>
        <w:spacing w:after="0" w:line="255"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in respect of whom such Canadian Taxes are required to be withheld or deducted as a result of such person or any other person that has a beneficial interest in respect of any payment under the Notes (i) not dealing at arm’s length with the Company (within the meaning of the Tax Act), (ii) being a “specified shareholder” (as defined in subsection 18(5) of the Tax Act) of the Company, (iii) not dealing at arm’s length (for the purposes of the Tax Act) with such a “specified shareholder”, (iv) being an entity in respect of which the Company is a “specified entity” as defined in subsection 18.4(1) of the Tax Act or (v) being a “reverse hybrid entity” as defined in the proposed amendments to the Tax Act released for consultation by the Department of Finance (Canada) on January 29, 2026 that would amend certain “hybrid mismatch” provisions of the Tax Act (or any successor provision thereto);</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4" w:name="page65"/>
    <w:bookmarkEnd w:id="64"/>
    <w:p>
      <w:pPr>
        <w:jc w:val="both"/>
        <w:ind w:left="1300" w:right="54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by reason of such person being connected with Canada (otherwise than merely by holding or ownership of a Note or receiving any payments or exercising any rights thereunder), including without limitation a non-resident insurer who carries on an insurance business in Canada and in a country other than Canada;</w:t>
      </w:r>
    </w:p>
    <w:p>
      <w:pPr>
        <w:spacing w:after="0" w:line="175" w:lineRule="exact"/>
        <w:rPr>
          <w:rFonts w:ascii="Times New Roman" w:cs="Times New Roman" w:eastAsia="Times New Roman" w:hAnsi="Times New Roman"/>
          <w:sz w:val="18"/>
          <w:szCs w:val="18"/>
          <w:color w:val="auto"/>
        </w:rPr>
      </w:pPr>
    </w:p>
    <w:p>
      <w:pPr>
        <w:ind w:left="1300" w:right="60" w:hanging="644"/>
        <w:spacing w:after="0" w:line="277"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or on account of any Canadian Taxes which would not have been so imposed but for: (i) the presentation by the Holder of a Note for payment on a date more than 30 days after the date on which such payment became due and payable or the date on which payment thereof is duly provided for, whichever occurs later; or (ii) the Holder’s failure to comply with any certification, identification, information, documentation or other reporting requirements if compliance is required by law, regulation, administrative practice or an applicable treaty as a precondition to exemption from or a reduction in the rate of deduction or withholding of, any such Canadian Taxes;</w:t>
      </w:r>
    </w:p>
    <w:p>
      <w:pPr>
        <w:spacing w:after="0" w:line="167"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estate, inheritance, gift, sales, transfer, personal property tax or any similar Canadian Taxes;</w:t>
      </w:r>
    </w:p>
    <w:p>
      <w:pPr>
        <w:spacing w:after="0" w:line="225" w:lineRule="exact"/>
        <w:rPr>
          <w:rFonts w:ascii="Times New Roman" w:cs="Times New Roman" w:eastAsia="Times New Roman" w:hAnsi="Times New Roman"/>
          <w:sz w:val="18"/>
          <w:szCs w:val="18"/>
          <w:color w:val="auto"/>
        </w:rPr>
      </w:pPr>
    </w:p>
    <w:p>
      <w:pPr>
        <w:jc w:val="both"/>
        <w:ind w:left="1300" w:right="26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required to be withheld by any Paying Agent from any payment to a person on a Note if such payment can be made to such person without such withholding by at least one other Paying Agent the identity of which is provided to such person;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is payable otherwise than by withholding from a payment on a Note;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or deduction imposed pursuant to: (i) Sections 1471 to 1474 of the U.S. Internal Revenue Code of 1986, as amended (“FATCA”), or any successor version thereof, or any similar legislation imposed by any other governmental authority, (ii) any treaty, law, regulation or other official guidance enacted by Canada implementing FATCA or an intergovernmental agreement with respect to FATCA or any similar legislation imposed by any other governmental authority, or (iii) any agreement between the Company or the Guarantors and the United States or any authority thereof implementing FATCA; or</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combination of items (a), (b), (c), (d), (e), (f) and (g);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nor will additional amounts be paid with respect to any payment on a Note to a 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Holder of such Note.</w:t>
      </w:r>
    </w:p>
    <w:p>
      <w:pPr>
        <w:spacing w:after="0" w:line="183"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The Company will furnish to the Holders of the Notes, within 30 days after the date of the payment of any Canadian Taxes due under applicable law, certified copies of tax receipts or other documents evidencing such payment.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Wherever in this Note or the Indenture there is mentioned, in any context, the payment of principal (and premium, if any), interest or any other amount payable under or with respect to the Notes, such mention shall be deemed to include mention of the payment of additional amounts to the extent that, in such context additional amounts are, were or would be payable in respect thereof.</w:t>
      </w:r>
    </w:p>
    <w:p>
      <w:pPr>
        <w:spacing w:after="0" w:line="176"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The Company may, at any time, and from time to time, issue additional Notes under the Indenture in unlimited amounts having the same terms as this Note, and such additional Notes will, together with this Note and any Notes which may be issued in exchange or substitution herefor, constitute a single series of Notes under the Indenture.</w:t>
      </w:r>
    </w:p>
    <w:p>
      <w:pPr>
        <w:spacing w:after="0" w:line="176"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Prior to February 27, 2031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ind w:left="1220" w:hanging="564"/>
        <w:spacing w:after="0" w:line="261"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(as defined herein) plus 15 basis points less (b) interest accrued on the principal amount of the Notes to be redeemed to the Redemption Date, and</w:t>
      </w:r>
    </w:p>
    <w:p>
      <w:pPr>
        <w:spacing w:after="0" w:line="179"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on the principal amount of the Notes being redeemed to, but not including, the Redemption Date.</w:t>
      </w:r>
    </w:p>
    <w:p>
      <w:pPr>
        <w:spacing w:after="0" w:line="225"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on the principal amount of the Notes being redeemed to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such optional redemption, the following defined terms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paragraphs.</w:t>
      </w:r>
    </w:p>
    <w:p>
      <w:pPr>
        <w:spacing w:after="0" w:line="207"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6" w:name="page67"/>
    <w:bookmarkEnd w:id="66"/>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US$1,000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Notice of redemption of any Notes given to the Holders of the Notes may be conditional and, in such case, such notice of redemption shall specify the details and terms of any event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 financing, asset disposition or other transaction) on which such redemption is conditional.</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Note or certain restrictive covenants and Events of Default with respect to this Note, in each case upon compliance with certain conditions set forth in the Indenture.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Notes of each series to be affected under the Indenture at any time by the Company and the Trustee with the consent of the Holders of a majority in principal amount of the Notes at the time Outstanding of each series to be affected. The Indenture also contains provisions permitting the Holders of specified percentages in principal amount of the Notes of each series at the time Outstanding, on behalf of the Holders of all Notes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of this series, the Holders of not less than 25% in principal amount of the Notes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Notes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76" w:lineRule="exact"/>
        <w:rPr>
          <w:sz w:val="20"/>
          <w:szCs w:val="20"/>
          <w:color w:val="auto"/>
        </w:rPr>
      </w:pPr>
    </w:p>
    <w:p>
      <w:pPr>
        <w:jc w:val="both"/>
        <w:ind w:right="180" w:firstLine="1296"/>
        <w:spacing w:after="0" w:line="261"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certain obligations of the Company under the Indenture and this Note are guaranteed pursuant to guarantees endorsed hereon as provided in the Indenture. Each Holder, by holding this Note, agrees to all of the terms and provisions of said guarantees. The Indenture provides that either guarantor shall be released from its guarantee upon the occurrence of certain events.</w:t>
      </w:r>
    </w:p>
    <w:p>
      <w:pPr>
        <w:spacing w:after="0" w:line="180" w:lineRule="exact"/>
        <w:rPr>
          <w:sz w:val="20"/>
          <w:szCs w:val="20"/>
          <w:color w:val="auto"/>
        </w:rPr>
      </w:pPr>
    </w:p>
    <w:p>
      <w:pPr>
        <w:ind w:right="20" w:firstLine="1296"/>
        <w:spacing w:after="0" w:line="277" w:lineRule="auto"/>
        <w:rPr>
          <w:sz w:val="20"/>
          <w:szCs w:val="20"/>
          <w:color w:val="auto"/>
        </w:rPr>
      </w:pPr>
      <w:r>
        <w:rPr>
          <w:rFonts w:ascii="Times New Roman" w:cs="Times New Roman" w:eastAsia="Times New Roman" w:hAnsi="Times New Roman"/>
          <w:sz w:val="17"/>
          <w:szCs w:val="17"/>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and of like tenor, of authorized denominations and for the same aggregate principal amount, will be issued to the designated transferee or transferees.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Notes of this series are issuable only in registered form without coupons in denominations of US$2,000 and integral multiples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US$1,000 thereof. As provided in the Indenture and subject to certain limitations therein set forth, Notes of this series are exchangeable for a like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of this series and of like tenor of a different authorized denomination, as requested by the Holder surrendering the same.</w:t>
      </w:r>
    </w:p>
    <w:p>
      <w:pPr>
        <w:spacing w:after="0" w:line="207"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terms used in this Note which are not defined in this Note and are defined in the Indenture shall have the meanings assigned to them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Indenture.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the 2036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0" w:name="page71"/>
    <w:bookmarkEnd w:id="70"/>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NOTE IS A GLOBAL SECURITY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5.450% Senior Notes due 2036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29250N CR4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US29250NCR44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 R-1</w:t>
            </w:r>
          </w:p>
        </w:tc>
        <w:tc>
          <w:tcPr>
            <w:tcW w:w="5940" w:type="dxa"/>
            <w:vAlign w:val="bottom"/>
          </w:tcPr>
          <w:p>
            <w:pPr>
              <w:ind w:left="4720"/>
              <w:spacing w:after="0"/>
              <w:rPr>
                <w:sz w:val="20"/>
                <w:szCs w:val="20"/>
                <w:color w:val="auto"/>
              </w:rPr>
            </w:pPr>
            <w:r>
              <w:rPr>
                <w:rFonts w:ascii="Times New Roman" w:cs="Times New Roman" w:eastAsia="Times New Roman" w:hAnsi="Times New Roman"/>
                <w:sz w:val="18"/>
                <w:szCs w:val="18"/>
                <w:color w:val="auto"/>
                <w:w w:val="98"/>
              </w:rPr>
              <w:t>US$500,000,000</w:t>
            </w:r>
          </w:p>
        </w:tc>
      </w:tr>
    </w:tbl>
    <w:p>
      <w:pPr>
        <w:spacing w:after="0" w:line="198"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18"/>
          <w:szCs w:val="18"/>
          <w:color w:val="auto"/>
        </w:rPr>
        <w:t>ENBRIDGE INC., a corporation duly incorporated under the Companies Act of the Northwest Territories and continued and existing under the Canada Business Corporations Act (herein called the “Company,” which term includes any successor Person under the Indenture hereinafter referred to), for value received, hereby promises to pay to CEDE &amp; CO., or registered assigns, the principal sum of US$500,000,000 on March 27, 2036, and to pay interest thereon from March 27, 2026 or from the most recent Interest Payment Date to which interest has been paid or duly provided for, semi-annually on March 27 and September 27 in each year, commencing September 27, 2026 at the rate of 5.450% per annum, until the principal hereof is paid or made available for payment. 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which shall be March 12 or September 12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Special Record Date for the payment of such Defaulted Interest to be fixed by the Trustee, notice whereof shall be given to Holders of the Notes of this series not less than 10 days prior to such Special Record Date, or be paid at any time in any other lawful manner not inconsistent with the requirements of any securities exchange on which the Notes of this series may be listed, and upon such notice as may be required by such exchange, in each case, all as more fully provided in said Indenture.</w:t>
      </w:r>
    </w:p>
    <w:p>
      <w:pPr>
        <w:spacing w:after="0" w:line="19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any such interest on this Note will be made at the office or agency of the Company maintained for that purpose in the City of New York or Calgary, Alberta, Canada, in such coin or currency of the United States of America as at the time of payment is legal tender for payment of public and private debts, including by wire transfer of such payment to the person entitled to receive such payments as specified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 Notwithstanding the foregoing, payment of any amount payable in respect of a Global Security will be made in accordance with the applicable procedures of the Depositary.</w:t>
      </w:r>
    </w:p>
    <w:p>
      <w:pPr>
        <w:spacing w:after="0" w:line="18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or electronic signature, this Note shall not be entitled to any benefit under the Indenture or be valid or obligatory for any purpose.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Jonathan E. Gould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Treasury,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Risk &amp; Pensions</w:t>
      </w: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Taniguchi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Legal &amp; Corporate Secretary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3" w:name="page74"/>
    <w:bookmarkEnd w:id="73"/>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 of Authentication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18"/>
          <w:szCs w:val="18"/>
          <w:color w:val="auto"/>
        </w:rPr>
        <w:t>(REVERSE OF NOTE)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ENBRIDGE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5.450% Senior Notes due 2036</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“Notes”), issued and to be issued in one or more series under an Indenture, dated as of February 25, 2005, between the Company and Deutsche Bank Trust Company Americas, as Trustee (herein called the “Trustee,” which term includes any successor trustee under the Indenture), as amended and supplemented by the First Supplemental Indenture, dated as of March 1, 2012, between the Company and the Trustee, the Sixth Supplemental Indenture, dated as of May 13, 2019, among the Company, Spectra Energy Partners, LP (“SEP”), Enbridge Energy Partners, L.P. (“EEP” and, together with SEP, the “Guarantors”) and the Trustee and the Eighth Supplemental Indenture, dated as of June 28, 2021, among the Company, the Guarantors and the Trustee (herein called the “Indenture,” which term shall have the meaning assigned to it in such instrument), and reference is hereby made to the Indenture for a statement of the respective rights, limitations of rights, duties and immunities thereunder of the Company, the Guarantors, the Trustee and the Holders of the Notes and of the terms upon which the Notes are, and are to be, authenticated and delivered. This Note is one of the series designated as the 5.450% Senior Notes due 2036 of the Company, issued in initial aggregate principal amount of US$1,000,000,000.</w:t>
      </w:r>
    </w:p>
    <w:p>
      <w:pPr>
        <w:spacing w:after="0" w:line="194"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The Company will, subject to the exceptions and limitations set forth below, pay to the Holder of a Note who is a non-resident of Canada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such additional amounts as may be necessary so that every net payment on such Note, after deduction or withholding by the Company or of any Paying Agent for or on account of any present or future tax, assessment or other governmental charge (including penalties, interest and other liabilities related thereto) imposed by the government of Canada (or any political subdivision or taxing authority thereof or therein) (collectively, “Canadian Taxes”) upon or as a result of such payment, will not be less than the amount provided in the Notes to be then due and payable (and the Company shall remit the full amount withheld to the relevant authority in accordance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make any payment of additional amounts:</w:t>
      </w:r>
    </w:p>
    <w:p>
      <w:pPr>
        <w:spacing w:after="0" w:line="189" w:lineRule="exact"/>
        <w:rPr>
          <w:sz w:val="20"/>
          <w:szCs w:val="20"/>
          <w:color w:val="auto"/>
        </w:rPr>
      </w:pPr>
    </w:p>
    <w:p>
      <w:pPr>
        <w:ind w:left="1300" w:right="20" w:hanging="644"/>
        <w:spacing w:after="0" w:line="255"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in respect of whom such Canadian Taxes are required to be withheld or deducted as a result of such person or any other person that has a beneficial interest in respect of any payment under the Notes (i) not dealing at arm’s length with the Company (within the meaning of the Tax Act), (ii) being a “specified shareholder” (as defined in subsection 18(5) of the Tax Act) of the Company, (iii) not dealing at arm’s length (for the purposes of the Tax Act) with such a “specified shareholder”, (iv) being an entity in respect of which the Company is a “specified entity” as defined in subsection 18.4(1) of the Tax Act or (v) being a “reverse hybrid entity” as defined in the proposed amendments to the Tax Act released for consultation by the Department of Finance (Canada) on January 29, 2026 that would amend certain “hybrid mismatch” provisions of the Tax Act (or any successor provision thereto);</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5" w:name="page76"/>
    <w:bookmarkEnd w:id="75"/>
    <w:p>
      <w:pPr>
        <w:jc w:val="both"/>
        <w:ind w:left="1300" w:right="54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by reason of such person being connected with Canada (otherwise than merely by holding or ownership of a Note or receiving any payments or exercising any rights thereunder), including without limitation a non-resident insurer who carries on an insurance business in Canada and in a country other than Canada;</w:t>
      </w:r>
    </w:p>
    <w:p>
      <w:pPr>
        <w:spacing w:after="0" w:line="175" w:lineRule="exact"/>
        <w:rPr>
          <w:rFonts w:ascii="Times New Roman" w:cs="Times New Roman" w:eastAsia="Times New Roman" w:hAnsi="Times New Roman"/>
          <w:sz w:val="18"/>
          <w:szCs w:val="18"/>
          <w:color w:val="auto"/>
        </w:rPr>
      </w:pPr>
    </w:p>
    <w:p>
      <w:pPr>
        <w:ind w:left="1300" w:right="60" w:hanging="644"/>
        <w:spacing w:after="0" w:line="277"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or on account of any Canadian Taxes which would not have been so imposed but for: (i) the presentation by the Holder of a Note for payment on a date more than 30 days after the date on which such payment became due and payable or the date on which payment thereof is duly provided for, whichever occurs later; or (ii) the Holder’s failure to comply with any certification, identification, information, documentation or other reporting requirements if compliance is required by law, regulation, administrative practice or an applicable treaty as a precondition to exemption from or a reduction in the rate of deduction or withholding of, any such Canadian Taxes;</w:t>
      </w:r>
    </w:p>
    <w:p>
      <w:pPr>
        <w:spacing w:after="0" w:line="167"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estate, inheritance, gift, sales, transfer, personal property tax or any similar Canadian Taxes;</w:t>
      </w:r>
    </w:p>
    <w:p>
      <w:pPr>
        <w:spacing w:after="0" w:line="225" w:lineRule="exact"/>
        <w:rPr>
          <w:rFonts w:ascii="Times New Roman" w:cs="Times New Roman" w:eastAsia="Times New Roman" w:hAnsi="Times New Roman"/>
          <w:sz w:val="18"/>
          <w:szCs w:val="18"/>
          <w:color w:val="auto"/>
        </w:rPr>
      </w:pPr>
    </w:p>
    <w:p>
      <w:pPr>
        <w:jc w:val="both"/>
        <w:ind w:left="1300" w:right="26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required to be withheld by any Paying Agent from any payment to a person on a Note if such payment can be made to such person without such withholding by at least one other Paying Agent the identity of which is provided to such person;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is payable otherwise than by withholding from a payment on a Note;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or deduction imposed pursuant to: (i) Sections 1471 to 1474 of the U.S. Internal Revenue Code of 1986, as amended (“FATCA”), or any successor version thereof, or any similar legislation imposed by any other governmental authority, (ii) any treaty, law, regulation or other official guidance enacted by Canada implementing FATCA or an intergovernmental agreement with respect to FATCA or any similar legislation imposed by any other governmental authority, or (iii) any agreement between the Company or the Guarantors and the United States or any authority thereof implementing FATCA; or</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combination of items (a), (b), (c), (d), (e), (f) and (g);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nor will additional amounts be paid with respect to any payment on a Note to a 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Holder of such Note.</w:t>
      </w:r>
    </w:p>
    <w:p>
      <w:pPr>
        <w:spacing w:after="0" w:line="183"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The Company will furnish to the Holders of the Notes, within 30 days after the date of the payment of any Canadian Taxes due under applicable law, certified copies of tax receipts or other documents evidencing such payment.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Wherever in this Note or the Indenture there is mentioned, in any context, the payment of principal (and premium, if any), interest or any other amount payable under or with respect to the Notes, such mention shall be deemed to include mention of the payment of additional amounts to the extent that, in such context additional amounts are, were or would be payable in respect thereof.</w:t>
      </w:r>
    </w:p>
    <w:p>
      <w:pPr>
        <w:spacing w:after="0" w:line="176"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The Company may, at any time, and from time to time, issue additional Notes under the Indenture in unlimited amounts having the same terms as this Note, and such additional Notes will, together with this Note and any Notes which may be issued in exchange or substitution herefor, constitute a single series of Notes under the Indenture.</w:t>
      </w:r>
    </w:p>
    <w:p>
      <w:pPr>
        <w:spacing w:after="0" w:line="176"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Prior to December 27, 2035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ind w:left="1220" w:hanging="564"/>
        <w:spacing w:after="0" w:line="261"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(as defined herein) plus 20 basis points less (b) interest accrued on the principal amount of the Notes to be redeemed to the Redemption Date, and</w:t>
      </w:r>
    </w:p>
    <w:p>
      <w:pPr>
        <w:spacing w:after="0" w:line="179"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on the principal amount of the Notes being redeemed to, but not including, the Redemption Date.</w:t>
      </w:r>
    </w:p>
    <w:p>
      <w:pPr>
        <w:spacing w:after="0" w:line="225"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on the principal amount of the Notes being redeemed to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such optional redemption, the following defined terms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paragraphs.</w:t>
      </w:r>
    </w:p>
    <w:p>
      <w:pPr>
        <w:spacing w:after="0" w:line="207"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US$1,000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Notice of redemption of any Notes given to the Holders of the Notes may be conditional and, in such case, such notice of redemption shall specify the details and terms of any event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 financing, asset disposition or other transaction) on which such redemption is conditional.</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Note or certain restrictive covenants and Events of Default with respect to this Note, in each case upon compliance with certain conditions set forth in the Indenture.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Notes of each series to be affected under the Indenture at any time by the Company and the Trustee with the consent of the Holders of a majority in principal amount of the Notes at the time Outstanding of each series to be affected. The Indenture also contains provisions permitting the Holders of specified percentages in principal amount of the Notes of each series at the time Outstanding, on behalf of the Holders of all Notes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of this series, the Holders of not less than 25% in principal amount of the Notes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Notes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9" w:name="page80"/>
    <w:bookmarkEnd w:id="79"/>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76" w:lineRule="exact"/>
        <w:rPr>
          <w:sz w:val="20"/>
          <w:szCs w:val="20"/>
          <w:color w:val="auto"/>
        </w:rPr>
      </w:pPr>
    </w:p>
    <w:p>
      <w:pPr>
        <w:jc w:val="both"/>
        <w:ind w:right="180" w:firstLine="1296"/>
        <w:spacing w:after="0" w:line="261"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certain obligations of the Company under the Indenture and this Note are guaranteed pursuant to guarantees endorsed hereon as provided in the Indenture. Each Holder, by holding this Note, agrees to all of the terms and provisions of said guarantees. The Indenture provides that either guarantor shall be released from its guarantee upon the occurrence of certain events.</w:t>
      </w:r>
    </w:p>
    <w:p>
      <w:pPr>
        <w:spacing w:after="0" w:line="180" w:lineRule="exact"/>
        <w:rPr>
          <w:sz w:val="20"/>
          <w:szCs w:val="20"/>
          <w:color w:val="auto"/>
        </w:rPr>
      </w:pPr>
    </w:p>
    <w:p>
      <w:pPr>
        <w:ind w:right="20" w:firstLine="1296"/>
        <w:spacing w:after="0" w:line="277" w:lineRule="auto"/>
        <w:rPr>
          <w:sz w:val="20"/>
          <w:szCs w:val="20"/>
          <w:color w:val="auto"/>
        </w:rPr>
      </w:pPr>
      <w:r>
        <w:rPr>
          <w:rFonts w:ascii="Times New Roman" w:cs="Times New Roman" w:eastAsia="Times New Roman" w:hAnsi="Times New Roman"/>
          <w:sz w:val="17"/>
          <w:szCs w:val="17"/>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and of like tenor, of authorized denominations and for the same aggregate principal amount, will be issued to the designated transferee or transferees.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Notes of this series are issuable only in registered form without coupons in denominations of US$2,000 and integral multiples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US$1,000 thereof. As provided in the Indenture and subject to certain limitations therein set forth, Notes of this series are exchangeable for a like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of this series and of like tenor of a different authorized denomination, as requested by the Holder surrendering the same.</w:t>
      </w:r>
    </w:p>
    <w:p>
      <w:pPr>
        <w:spacing w:after="0" w:line="207"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terms used in this Note which are not defined in this Note and are defined in the Indenture shall have the meanings assigned to them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Indenture.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Sullivan &amp; Cromwell LLP]</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Enbridge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425 – 1st Street S.W.,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Calgary, Alberta,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T2P 3L8.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Enbridge Energy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 Energy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915 North Eldridge Parkway, 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(i) US$1,000,000,000 aggregate principal amount of 4.850% Senior Notes due 2031 and (ii) US$1,000,000,000 aggregate principal amount of 5.450% Senior Notes due 2036 (together, the “Debt Securities”) of Enbridge Inc., a corporation organized under the laws of Canada (the “Company”), and guarantees of the Debt Securities (the “Guarantees”) of Enbridge Energy Partners, L.P., a Delaware limited partnership (“EEP”), and Spectra Energy Partners, LP, a Delaware limited partnership (“SEP” and, together with EEP, the “Guarantors”), issued pursuant to the Indenture, dated as of February 25, 2005, between the Company and Deutsche Bank Trust Company Americas, as Trustee (the “Trustee”), as amended and supplemented by the First Supplemental Indenture, dated as of March 1, 2012, between the Company and the Trustee, the Sixth Supplemental Indenture, dated as of May 13, 2019, among the Company, the Guarantors and the Trustee and the Eighth Supplemental Indenture, dated as of June 28, 2021, among the Company, the Guarantors and the Trustee, we, as your United States counsel, have examined such corporate records, certificates and other documents, and such questions of law, as we have considered necessary or appropriate for the purposes of this opinion.</w:t>
      </w:r>
    </w:p>
    <w:p>
      <w:pPr>
        <w:spacing w:after="0" w:line="194"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Upon the basis of such examination, it is our opinion that (i) the Debt Securities constitute valid and legally binding obligations of the Company and (ii) the Guarantees constitute valid and legally binding obligations of the Guarantors, subject in the cases of clauses (i) and (ii) above, to bankruptcy, insolvency, fraudulent transfer, reorganization, moratorium and similar laws of general applicability relating to or affecting creditors’ rights and to general equity principles.</w:t>
      </w:r>
    </w:p>
    <w:p>
      <w:pPr>
        <w:spacing w:after="0" w:line="180"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Debt Securities, the Guarantees or their offering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Enbridge Inc.</w:t>
            </w:r>
          </w:p>
        </w:tc>
        <w:tc>
          <w:tcPr>
            <w:tcW w:w="4600" w:type="dxa"/>
            <w:vAlign w:val="bottom"/>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Enbridge Energy Partners, L.P.</w:t>
            </w:r>
          </w:p>
        </w:tc>
        <w:tc>
          <w:tcPr>
            <w:tcW w:w="46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Spectra Energy Partners, LP</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the Delaware Revised Uniform Limited Partnership Act and the statutory laws of the State of New York, and we are expressing no opinion as to the effect of the laws of any other jurisdiction. With respect to all matters of the laws of Canada and Alberta, we note that you have received an opinion dated the date hereof of McCarthy Tétrault LLP. In rendering the foregoing opinion, we have assumed, without independent verification, that the Company is duly organized, validly existing and in good standing under the laws of Canada, that the Indenture was duly authorized, executed and delivered by the Company insofar as the laws of Canada and the applicable laws of Alberta are concerned, that all corporate action by the Company related to the Debt Securities was duly authorized as a matter of Canadian law and that the Debt Securities have been duly authorized, executed, authenticated, issued and delivered insofar as the laws of Canada and the applicable laws of Alberta are concerned.</w:t>
      </w:r>
    </w:p>
    <w:p>
      <w:pPr>
        <w:spacing w:after="0" w:line="192"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the Guarantors and other sources believed by us to be responsible, and we have assumed that the Indenture has been duly authorized, executed and delivered by the Trustee, that the Debt Securities and Guarantees conform to the specimens thereof examined by us, that the Trustee’s certificates of authentication of the Debt Securities have been signed by one of the Trustee’s authorized officers, and that the signatures on all documents examined by us are genuine, assumptions which we have not independently verified.</w:t>
      </w:r>
    </w:p>
    <w:p>
      <w:pPr>
        <w:spacing w:after="0" w:line="18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to be incorporated by reference into the Company’s Registration Statement on Form S-3 relating to the Debt Securities and Guarantees and to the reference to us under the heading “Validity of Securities” in the prospectus supplement, dated March 24, 2026, relating to the Debt Securities and Guarantees. In giving such consent, we do not thereby admit that we are in the category of persons whose consent is required under Section 7 of the Act.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SULLIVAN CROMWELL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McCarthy Tétrault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Enbridge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Fifth Avenue Place</w:t>
      </w:r>
    </w:p>
    <w:p>
      <w:pPr>
        <w:spacing w:after="0" w:line="192" w:lineRule="auto"/>
        <w:rPr>
          <w:sz w:val="20"/>
          <w:szCs w:val="20"/>
          <w:color w:val="auto"/>
        </w:rPr>
      </w:pPr>
      <w:r>
        <w:rPr>
          <w:rFonts w:ascii="Times New Roman" w:cs="Times New Roman" w:eastAsia="Times New Roman" w:hAnsi="Times New Roman"/>
          <w:sz w:val="18"/>
          <w:szCs w:val="18"/>
          <w:color w:val="auto"/>
        </w:rPr>
        <w:t>425 1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S.W.</w:t>
      </w:r>
    </w:p>
    <w:p>
      <w:pPr>
        <w:spacing w:after="0"/>
        <w:rPr>
          <w:sz w:val="20"/>
          <w:szCs w:val="20"/>
          <w:color w:val="auto"/>
        </w:rPr>
      </w:pPr>
      <w:r>
        <w:rPr>
          <w:rFonts w:ascii="Times New Roman" w:cs="Times New Roman" w:eastAsia="Times New Roman" w:hAnsi="Times New Roman"/>
          <w:sz w:val="18"/>
          <w:szCs w:val="18"/>
          <w:color w:val="auto"/>
        </w:rPr>
        <w:t>Calgary, Alberta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T2P 3L8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ectPr>
          <w:pgSz w:w="11900" w:h="16838" w:orient="portrait"/>
          <w:cols w:equalWidth="0" w:num="1">
            <w:col w:w="11240"/>
          </w:cols>
          <w:pgMar w:left="320" w:top="36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Enbridge Inc. (the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of US$1,000,000,000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of 5.450% Senior Notes due 2036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of 4.850% Senior Notes due 2031 and US$1,000,000,000 aggregate principal</w:t>
      </w:r>
    </w:p>
    <w:p>
      <w:pPr>
        <w:spacing w:after="0" w:line="438" w:lineRule="exact"/>
        <w:rPr>
          <w:sz w:val="20"/>
          <w:szCs w:val="20"/>
          <w:color w:val="auto"/>
        </w:rPr>
      </w:pPr>
    </w:p>
    <w:p>
      <w:pPr>
        <w:sectPr>
          <w:pgSz w:w="11900" w:h="16838" w:orient="portrait"/>
          <w:cols w:equalWidth="0" w:num="3">
            <w:col w:w="280" w:space="380"/>
            <w:col w:w="3680" w:space="80"/>
            <w:col w:w="6820"/>
          </w:cols>
          <w:pgMar w:left="320" w:top="360" w:right="339" w:bottom="1440" w:gutter="0" w:footer="0" w:header="0"/>
          <w:type w:val="continuous"/>
        </w:sectPr>
      </w:pPr>
    </w:p>
    <w:p>
      <w:pPr>
        <w:spacing w:after="0" w:line="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acted as Canadian counsel to the Corporation, a corporation governed by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in connection with the issue and sale by the Corporation of US$1,000,000,000 aggregate principal amount of 4.850% Senior Notes due 2031 and US$1,000,000,000 aggregate principal amount of 5.450% Senior Notes due 2036 (collectively,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which are being issued pursuant to a trust indenture dated as of February 25, 2005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as supplemented by the First Supplemental Indenture dated as of March 1, 2012 between the Corporation and Deutsche Bank Trust Company Americas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Sixth Supplemental Indenture dated as of May 13, 2019 among the Corporation, Spectra Energy Partners, LP, Enbridge Energy Partners, L.P. and the Trustee, and the Eighth Supplemental Indenture dated as of June 28, 2021, between the Corporation, Spectra Energy Partners, LP, Enbridge Energy Partners, L.P. and the Trustee.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understand that the Corporation has prepared and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(File No. 333-289186)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United States Securities Act of 1933</w:t>
      </w:r>
      <w:r>
        <w:rPr>
          <w:rFonts w:ascii="Times New Roman" w:cs="Times New Roman" w:eastAsia="Times New Roman" w:hAnsi="Times New Roman"/>
          <w:sz w:val="18"/>
          <w:szCs w:val="18"/>
          <w:color w:val="auto"/>
        </w:rPr>
        <w:t>, as amended, and that the Registration Statement includes the United States Basic Prospectus (which document is referred to as the “</w:t>
      </w:r>
      <w:r>
        <w:rPr>
          <w:rFonts w:ascii="Times New Roman" w:cs="Times New Roman" w:eastAsia="Times New Roman" w:hAnsi="Times New Roman"/>
          <w:sz w:val="18"/>
          <w:szCs w:val="18"/>
          <w:b w:val="1"/>
          <w:bCs w:val="1"/>
          <w:color w:val="auto"/>
        </w:rPr>
        <w:t>U.S. Basic Prospectus</w:t>
      </w:r>
      <w:r>
        <w:rPr>
          <w:rFonts w:ascii="Times New Roman" w:cs="Times New Roman" w:eastAsia="Times New Roman" w:hAnsi="Times New Roman"/>
          <w:sz w:val="18"/>
          <w:szCs w:val="18"/>
          <w:color w:val="auto"/>
        </w:rPr>
        <w:t>”). The U.S. Basic Prospectus as supplemented by a prospectus supplement thereto dated March 24, 2026, filed with the SEC is referred to as the “</w:t>
      </w:r>
      <w:r>
        <w:rPr>
          <w:rFonts w:ascii="Times New Roman" w:cs="Times New Roman" w:eastAsia="Times New Roman" w:hAnsi="Times New Roman"/>
          <w:sz w:val="18"/>
          <w:szCs w:val="18"/>
          <w:b w:val="1"/>
          <w:bCs w:val="1"/>
          <w:color w:val="auto"/>
        </w:rPr>
        <w:t>U.S. Final Prospectus</w:t>
      </w:r>
      <w:r>
        <w:rPr>
          <w:rFonts w:ascii="Times New Roman" w:cs="Times New Roman" w:eastAsia="Times New Roman" w:hAnsi="Times New Roman"/>
          <w:sz w:val="18"/>
          <w:szCs w:val="18"/>
          <w:color w:val="auto"/>
        </w:rPr>
        <w:t>”. We understand that the Debt Securities will be distributed in the United States pursuant to the U.S. Final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Scope of Review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examined originals or copies, certified or otherwise identified to our satisfaction, of such public and corporate records, certificates, instruments and other documents, including the Registration Statement, and have considered such questions of law as we have deemed relevant and necessary as a basis for the opinion hereinafter expressed. In such examination, we have assumed the genuineness of all signatures, the authenticity of all documents submitted to us as originals and the conformity to the original documents of all documents submitted to us as copies, certified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5123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51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to certain matters of fact relevant to the opinion expressed below, we have relied exclusively upon a certificate of an officer of the Corporation dated March 27,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herein expressed are restricted to the laws of the Province of Alberta and the laws of Canada applicable therein in effect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w:t>
      </w:r>
    </w:p>
    <w:p>
      <w:pPr>
        <w:spacing w:after="0" w:line="22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is validly existing as a corporation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and, to the extent execution and delivery are governed by the laws of the Province of Alberta or the federal laws of Canada applicable therein, executed and delivered by the Corporation.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have been duly authorized and, assuming that the Debt Securities have been duly authenticated by the Trustee in the manner described in the Indenture and under New York law, to the extent issuance, execution and delivery are governed by the laws of the Province of Alberta or the federal laws of Canada applicable therein, issued, executed and delivered by the Corporation.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Current Report on Form 8-K, which forms a part of the Registration Statement, and to the use of this firm’s name under the caption “Validity of Securities” in the U.S. Final Prospectus. In giving the foregoing consent, we do not admit that we are in the category of persons whose consent is required under Section 7 of the Act or the rules and regulations of the SEC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“McCarthy Tétrault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1"/>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1."/>
      <w:numFmt w:val="lowerRoman"/>
      <w:start w:val="3"/>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9"/>
    </w:lvl>
    <w:lvl w:ilvl="1">
      <w:lvlJc w:val="left"/>
      <w:lvlText w:val="(%2)"/>
      <w:numFmt w:val="lowerLetter"/>
      <w:start w:val="1"/>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4"/>
    </w:lvl>
  </w:abstractNum>
  <w:abstractNum w:abstractNumId="10">
    <w:nsid w:val="431BD7B7"/>
    <w:multiLevelType w:val="hybridMultilevel"/>
    <w:lvl w:ilvl="0">
      <w:lvlJc w:val="left"/>
      <w:lvlText w:val="(%1)"/>
      <w:numFmt w:val="lowerLetter"/>
      <w:start w:val="2"/>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9"/>
    </w:lvl>
    <w:lvl w:ilvl="1">
      <w:lvlJc w:val="left"/>
      <w:lvlText w:val="(%2)"/>
      <w:numFmt w:val="lowerLetter"/>
      <w:start w:val="1"/>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4"/>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2026-03-27T16:08:46Z</dcterms:created>
  <dcterms:modified xsi:type="dcterms:W3CDTF">2026-03-27T16:08:46Z</dcterms:modified>
</cp:coreProperties>
</file>