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79"/>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3074035</wp:posOffset>
            </wp:positionH>
            <wp:positionV relativeFrom="paragraph">
              <wp:posOffset>56515</wp:posOffset>
            </wp:positionV>
            <wp:extent cx="4076065" cy="248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76065" cy="24828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10-Q</w:t>
      </w:r>
    </w:p>
    <w:p>
      <w:pPr>
        <w:spacing w:after="0" w:line="256" w:lineRule="exact"/>
        <w:rPr>
          <w:sz w:val="24"/>
          <w:szCs w:val="24"/>
          <w:color w:val="auto"/>
        </w:rPr>
      </w:pPr>
    </w:p>
    <w:p>
      <w:pPr>
        <w:ind w:left="2540" w:hanging="1128"/>
        <w:spacing w:after="0"/>
        <w:tabs>
          <w:tab w:leader="none" w:pos="2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w:t>
      </w:r>
    </w:p>
    <w:p>
      <w:pPr>
        <w:ind w:left="4980"/>
        <w:spacing w:after="0" w:line="234" w:lineRule="auto"/>
        <w:rPr>
          <w:rFonts w:ascii="MS PGothic" w:cs="MS PGothic" w:eastAsia="MS PGothic" w:hAnsi="MS PGothic"/>
          <w:sz w:val="18"/>
          <w:szCs w:val="18"/>
          <w:color w:val="auto"/>
        </w:rPr>
      </w:pPr>
      <w:r>
        <w:rPr>
          <w:rFonts w:ascii="Arial" w:cs="Arial" w:eastAsia="Arial" w:hAnsi="Arial"/>
          <w:sz w:val="18"/>
          <w:szCs w:val="18"/>
          <w:b w:val="1"/>
          <w:bCs w:val="1"/>
          <w:color w:val="auto"/>
        </w:rPr>
        <w:t>EXCHANGE ACT OF 1934</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2026</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2560" w:hanging="1148"/>
        <w:spacing w:after="0"/>
        <w:tabs>
          <w:tab w:leader="none" w:pos="2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w:t>
      </w:r>
    </w:p>
    <w:p>
      <w:pPr>
        <w:ind w:left="49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EXCHANGE ACT OF 1934</w:t>
      </w:r>
    </w:p>
    <w:p>
      <w:pPr>
        <w:spacing w:after="0" w:line="86" w:lineRule="exact"/>
        <w:rPr>
          <w:sz w:val="24"/>
          <w:szCs w:val="24"/>
          <w:color w:val="auto"/>
        </w:rPr>
      </w:pPr>
    </w:p>
    <w:p>
      <w:pPr>
        <w:ind w:left="2800"/>
        <w:spacing w:after="0"/>
        <w:tabs>
          <w:tab w:leader="none" w:pos="59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001-15254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ENBRIDGE INC.</w:t>
      </w:r>
    </w:p>
    <w:p>
      <w:pPr>
        <w:spacing w:after="0" w:line="77"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180"/>
          </w:cols>
          <w:pgMar w:left="320" w:top="1254" w:right="399" w:bottom="1440" w:gutter="0" w:footer="0" w:header="0"/>
        </w:sectPr>
      </w:pPr>
    </w:p>
    <w:p>
      <w:pPr>
        <w:spacing w:after="0" w:line="275"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Canada</w:t>
      </w:r>
    </w:p>
    <w:p>
      <w:pPr>
        <w:ind w:left="1600"/>
        <w:spacing w:after="0" w:line="219" w:lineRule="auto"/>
        <w:rPr>
          <w:sz w:val="20"/>
          <w:szCs w:val="20"/>
          <w:color w:val="auto"/>
        </w:rPr>
      </w:pPr>
      <w:r>
        <w:rPr>
          <w:rFonts w:ascii="Arial" w:cs="Arial" w:eastAsia="Arial" w:hAnsi="Arial"/>
          <w:sz w:val="18"/>
          <w:szCs w:val="18"/>
          <w:color w:val="auto"/>
        </w:rPr>
        <w:t>(State or Other Jurisdiction of</w:t>
      </w:r>
    </w:p>
    <w:p>
      <w:pPr>
        <w:ind w:left="1560"/>
        <w:spacing w:after="0"/>
        <w:rPr>
          <w:sz w:val="20"/>
          <w:szCs w:val="20"/>
          <w:color w:val="auto"/>
        </w:rPr>
      </w:pPr>
      <w:r>
        <w:rPr>
          <w:rFonts w:ascii="Arial" w:cs="Arial" w:eastAsia="Arial" w:hAnsi="Arial"/>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98-0377957</w:t>
      </w:r>
    </w:p>
    <w:p>
      <w:pPr>
        <w:jc w:val="center"/>
        <w:ind w:right="2000"/>
        <w:spacing w:after="0" w:line="219" w:lineRule="auto"/>
        <w:rPr>
          <w:sz w:val="20"/>
          <w:szCs w:val="20"/>
          <w:color w:val="auto"/>
        </w:rPr>
      </w:pPr>
      <w:r>
        <w:rPr>
          <w:rFonts w:ascii="Arial" w:cs="Arial" w:eastAsia="Arial" w:hAnsi="Arial"/>
          <w:sz w:val="18"/>
          <w:szCs w:val="18"/>
          <w:color w:val="auto"/>
        </w:rPr>
        <w:t>(I.R.S. Employer</w:t>
      </w:r>
    </w:p>
    <w:p>
      <w:pPr>
        <w:jc w:val="center"/>
        <w:ind w:right="2000"/>
        <w:spacing w:after="0"/>
        <w:rPr>
          <w:sz w:val="20"/>
          <w:szCs w:val="20"/>
          <w:color w:val="auto"/>
        </w:rPr>
      </w:pPr>
      <w:r>
        <w:rPr>
          <w:rFonts w:ascii="Arial" w:cs="Arial" w:eastAsia="Arial" w:hAnsi="Arial"/>
          <w:sz w:val="17"/>
          <w:szCs w:val="17"/>
          <w:color w:val="auto"/>
        </w:rPr>
        <w:t>Identification No.)</w:t>
      </w:r>
    </w:p>
    <w:p>
      <w:pPr>
        <w:spacing w:after="0" w:line="12" w:lineRule="exact"/>
        <w:rPr>
          <w:sz w:val="24"/>
          <w:szCs w:val="24"/>
          <w:color w:val="auto"/>
        </w:rPr>
      </w:pPr>
    </w:p>
    <w:p>
      <w:pPr>
        <w:sectPr>
          <w:pgSz w:w="11900" w:h="16838" w:orient="portrait"/>
          <w:cols w:equalWidth="0" w:num="2">
            <w:col w:w="7060" w:space="720"/>
            <w:col w:w="3400"/>
          </w:cols>
          <w:pgMar w:left="320" w:top="1254" w:right="399" w:bottom="1440" w:gutter="0" w:footer="0" w:header="0"/>
          <w:type w:val="continuous"/>
        </w:sectPr>
      </w:pPr>
    </w:p>
    <w:p>
      <w:pPr>
        <w:jc w:val="center"/>
        <w:ind w:right="-59"/>
        <w:spacing w:after="0" w:line="229" w:lineRule="auto"/>
        <w:rPr>
          <w:sz w:val="20"/>
          <w:szCs w:val="20"/>
          <w:color w:val="auto"/>
        </w:rPr>
      </w:pPr>
      <w:r>
        <w:rPr>
          <w:rFonts w:ascii="Arial" w:cs="Arial" w:eastAsia="Arial" w:hAnsi="Arial"/>
          <w:sz w:val="18"/>
          <w:szCs w:val="18"/>
          <w:color w:val="auto"/>
        </w:rPr>
        <w:t>200, 425 - 1st Street S.W.</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Calgary, Alberta, Canada T2P 3L8</w:t>
      </w:r>
    </w:p>
    <w:p>
      <w:pPr>
        <w:sectPr>
          <w:pgSz w:w="11900" w:h="16838" w:orient="portrait"/>
          <w:cols w:equalWidth="0" w:num="1">
            <w:col w:w="11180"/>
          </w:cols>
          <w:pgMar w:left="320" w:top="1254" w:right="399" w:bottom="1440" w:gutter="0" w:footer="0" w:header="0"/>
          <w:type w:val="continuous"/>
        </w:sectPr>
      </w:pPr>
    </w:p>
    <w:p>
      <w:pPr>
        <w:jc w:val="center"/>
        <w:ind w:right="-79"/>
        <w:spacing w:after="0" w:line="234" w:lineRule="auto"/>
        <w:rPr>
          <w:sz w:val="20"/>
          <w:szCs w:val="20"/>
          <w:color w:val="auto"/>
        </w:rPr>
      </w:pPr>
      <w:r>
        <w:rPr>
          <w:rFonts w:ascii="Arial" w:cs="Arial" w:eastAsia="Arial" w:hAnsi="Arial"/>
          <w:sz w:val="14"/>
          <w:szCs w:val="14"/>
          <w:color w:val="auto"/>
        </w:rPr>
        <w:t>(Address of Principal Executive Offices) (Zip Code)</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(403) 231-3900</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(Registrant’s Telephone Number, Including Area Code)</w:t>
      </w:r>
    </w:p>
    <w:p>
      <w:pPr>
        <w:spacing w:after="0" w:line="118"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0" w:lineRule="exact"/>
        <w:rPr>
          <w:sz w:val="24"/>
          <w:szCs w:val="24"/>
          <w:color w:val="auto"/>
        </w:rPr>
      </w:pPr>
    </w:p>
    <w:tbl>
      <w:tblPr>
        <w:tblLayout w:type="fixed"/>
        <w:tblInd w:w="520" w:type="dxa"/>
        <w:tblCellMar>
          <w:top w:w="0" w:type="dxa"/>
          <w:left w:w="0" w:type="dxa"/>
          <w:bottom w:w="0" w:type="dxa"/>
          <w:right w:w="0" w:type="dxa"/>
        </w:tblCellMar>
      </w:tblPr>
      <w:tr>
        <w:trPr>
          <w:trHeight w:val="224"/>
        </w:trPr>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34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780" w:type="dxa"/>
            <w:vAlign w:val="bottom"/>
          </w:tcPr>
          <w:p>
            <w:pPr>
              <w:spacing w:after="0"/>
              <w:rPr>
                <w:sz w:val="19"/>
                <w:szCs w:val="19"/>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5"/>
        </w:trPr>
        <w:tc>
          <w:tcPr>
            <w:tcW w:w="1900" w:type="dxa"/>
            <w:vAlign w:val="bottom"/>
          </w:tcPr>
          <w:p>
            <w:pPr>
              <w:jc w:val="center"/>
              <w:spacing w:after="0"/>
              <w:rPr>
                <w:sz w:val="20"/>
                <w:szCs w:val="20"/>
                <w:color w:val="auto"/>
              </w:rPr>
            </w:pPr>
            <w:r>
              <w:rPr>
                <w:rFonts w:ascii="Arial" w:cs="Arial" w:eastAsia="Arial" w:hAnsi="Arial"/>
                <w:sz w:val="16"/>
                <w:szCs w:val="16"/>
                <w:color w:val="auto"/>
              </w:rPr>
              <w:t>Common Shares</w:t>
            </w:r>
          </w:p>
        </w:tc>
        <w:tc>
          <w:tcPr>
            <w:tcW w:w="13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ENB</w:t>
            </w:r>
          </w:p>
        </w:tc>
        <w:tc>
          <w:tcPr>
            <w:tcW w:w="78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14"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62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18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760" w:type="dxa"/>
        <w:tblCellMar>
          <w:top w:w="0" w:type="dxa"/>
          <w:left w:w="0" w:type="dxa"/>
          <w:bottom w:w="0" w:type="dxa"/>
          <w:right w:w="0" w:type="dxa"/>
        </w:tblCellMar>
      </w:tblPr>
      <w:tr>
        <w:trPr>
          <w:trHeight w:val="210"/>
        </w:trPr>
        <w:tc>
          <w:tcPr>
            <w:tcW w:w="2060" w:type="dxa"/>
            <w:vAlign w:val="bottom"/>
          </w:tcPr>
          <w:p>
            <w:pPr>
              <w:jc w:val="center"/>
              <w:ind w:right="228"/>
              <w:spacing w:after="0"/>
              <w:rPr>
                <w:sz w:val="20"/>
                <w:szCs w:val="20"/>
                <w:color w:val="auto"/>
              </w:rPr>
            </w:pPr>
            <w:r>
              <w:rPr>
                <w:rFonts w:ascii="Arial" w:cs="Arial" w:eastAsia="Arial" w:hAnsi="Arial"/>
                <w:sz w:val="14"/>
                <w:szCs w:val="14"/>
                <w:color w:val="auto"/>
              </w:rPr>
              <w:t>Large accelerated filer</w:t>
            </w:r>
          </w:p>
        </w:tc>
        <w:tc>
          <w:tcPr>
            <w:tcW w:w="30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jc w:val="center"/>
              <w:ind w:left="2268"/>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060" w:type="dxa"/>
            <w:vAlign w:val="bottom"/>
          </w:tcPr>
          <w:p>
            <w:pPr>
              <w:jc w:val="center"/>
              <w:ind w:right="268"/>
              <w:spacing w:after="0"/>
              <w:rPr>
                <w:sz w:val="20"/>
                <w:szCs w:val="20"/>
                <w:color w:val="auto"/>
              </w:rPr>
            </w:pPr>
            <w:r>
              <w:rPr>
                <w:rFonts w:ascii="Arial" w:cs="Arial" w:eastAsia="Arial" w:hAnsi="Arial"/>
                <w:sz w:val="14"/>
                <w:szCs w:val="14"/>
                <w:color w:val="auto"/>
              </w:rPr>
              <w:t>Non-accelerated filer</w:t>
            </w:r>
          </w:p>
        </w:tc>
        <w:tc>
          <w:tcPr>
            <w:tcW w:w="30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jc w:val="center"/>
              <w:ind w:left="2268"/>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060" w:type="dxa"/>
            <w:vAlign w:val="bottom"/>
          </w:tcPr>
          <w:p>
            <w:pPr>
              <w:jc w:val="center"/>
              <w:ind w:right="268"/>
              <w:spacing w:after="0"/>
              <w:rPr>
                <w:sz w:val="20"/>
                <w:szCs w:val="20"/>
                <w:color w:val="auto"/>
              </w:rPr>
            </w:pPr>
            <w:r>
              <w:rPr>
                <w:rFonts w:ascii="Arial" w:cs="Arial" w:eastAsia="Arial" w:hAnsi="Arial"/>
                <w:sz w:val="14"/>
                <w:szCs w:val="14"/>
                <w:color w:val="auto"/>
              </w:rPr>
              <w:t>Emerging growth company</w:t>
            </w:r>
          </w:p>
        </w:tc>
        <w:tc>
          <w:tcPr>
            <w:tcW w:w="30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spacing w:after="0"/>
              <w:rPr>
                <w:sz w:val="21"/>
                <w:szCs w:val="21"/>
                <w:color w:val="auto"/>
              </w:rPr>
            </w:pPr>
          </w:p>
        </w:tc>
        <w:tc>
          <w:tcPr>
            <w:tcW w:w="400" w:type="dxa"/>
            <w:vAlign w:val="bottom"/>
          </w:tcPr>
          <w:p>
            <w:pPr>
              <w:spacing w:after="0"/>
              <w:rPr>
                <w:sz w:val="21"/>
                <w:szCs w:val="21"/>
                <w:color w:val="auto"/>
              </w:rPr>
            </w:pPr>
          </w:p>
        </w:tc>
      </w:tr>
    </w:tbl>
    <w:p>
      <w:pPr>
        <w:spacing w:after="0" w:line="46" w:lineRule="exact"/>
        <w:rPr>
          <w:sz w:val="24"/>
          <w:szCs w:val="24"/>
          <w:color w:val="auto"/>
        </w:rPr>
      </w:pPr>
    </w:p>
    <w:p>
      <w:pPr>
        <w:ind w:right="24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ind w:right="3120"/>
        <w:spacing w:after="0" w:line="24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registrant had 2,183,696,415 common shares outstanding as at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254" w:right="399" w:bottom="1440" w:gutter="0" w:footer="0" w:header="0"/>
          <w:type w:val="continuous"/>
        </w:sectPr>
      </w:pPr>
    </w:p>
    <w:bookmarkStart w:id="1" w:name="page2"/>
    <w:bookmarkEnd w:id="1"/>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140" w:type="dxa"/>
            <w:vAlign w:val="bottom"/>
          </w:tcPr>
          <w:p>
            <w:pPr>
              <w:spacing w:after="0"/>
              <w:rPr>
                <w:sz w:val="21"/>
                <w:szCs w:val="21"/>
                <w:color w:val="auto"/>
              </w:rPr>
            </w:pPr>
          </w:p>
        </w:tc>
        <w:tc>
          <w:tcPr>
            <w:tcW w:w="7080" w:type="dxa"/>
            <w:vAlign w:val="bottom"/>
            <w:gridSpan w:val="13"/>
          </w:tcPr>
          <w:p>
            <w:pPr>
              <w:spacing w:after="0"/>
              <w:rPr>
                <w:sz w:val="20"/>
                <w:szCs w:val="20"/>
                <w:color w:val="auto"/>
              </w:rPr>
            </w:pPr>
            <w:r>
              <w:rPr>
                <w:rFonts w:ascii="Arial" w:cs="Arial" w:eastAsia="Arial" w:hAnsi="Arial"/>
                <w:sz w:val="18"/>
                <w:szCs w:val="18"/>
                <w:b w:val="1"/>
                <w:bCs w:val="1"/>
                <w:color w:val="auto"/>
              </w:rPr>
              <w:t>PART I</w:t>
            </w:r>
          </w:p>
        </w:tc>
      </w:tr>
      <w:tr>
        <w:trPr>
          <w:trHeight w:val="434"/>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7080" w:type="dxa"/>
            <w:vAlign w:val="bottom"/>
            <w:gridSpan w:val="13"/>
          </w:tcPr>
          <w:p>
            <w:pPr>
              <w:spacing w:after="0"/>
              <w:rPr>
                <w:sz w:val="20"/>
                <w:szCs w:val="20"/>
                <w:color w:val="auto"/>
              </w:rPr>
            </w:pPr>
            <w:r>
              <w:rPr>
                <w:rFonts w:ascii="Arial" w:cs="Arial" w:eastAsia="Arial" w:hAnsi="Arial"/>
                <w:sz w:val="18"/>
                <w:szCs w:val="18"/>
                <w:color w:val="0000FF"/>
              </w:rPr>
              <w:t>Financial Statements</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r>
      <w:tr>
        <w:trPr>
          <w:trHeight w:val="277"/>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7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2"/>
          </w:tcPr>
          <w:p>
            <w:pPr>
              <w:spacing w:after="0"/>
              <w:rPr>
                <w:sz w:val="24"/>
                <w:szCs w:val="24"/>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Controls and Procedures</w:t>
            </w:r>
          </w:p>
        </w:tc>
        <w:tc>
          <w:tcPr>
            <w:tcW w:w="5080" w:type="dxa"/>
            <w:vAlign w:val="bottom"/>
            <w:gridSpan w:val="4"/>
          </w:tcPr>
          <w:p>
            <w:pPr>
              <w:spacing w:after="0"/>
              <w:rPr>
                <w:sz w:val="24"/>
                <w:szCs w:val="24"/>
                <w:color w:val="auto"/>
              </w:rPr>
            </w:pPr>
          </w:p>
        </w:tc>
      </w:tr>
      <w:tr>
        <w:trPr>
          <w:trHeight w:val="626"/>
        </w:trPr>
        <w:tc>
          <w:tcPr>
            <w:tcW w:w="1140" w:type="dxa"/>
            <w:vAlign w:val="bottom"/>
          </w:tcPr>
          <w:p>
            <w:pPr>
              <w:spacing w:after="0"/>
              <w:rPr>
                <w:sz w:val="24"/>
                <w:szCs w:val="24"/>
                <w:color w:val="auto"/>
              </w:rPr>
            </w:pPr>
          </w:p>
        </w:tc>
        <w:tc>
          <w:tcPr>
            <w:tcW w:w="7080" w:type="dxa"/>
            <w:vAlign w:val="bottom"/>
            <w:gridSpan w:val="13"/>
          </w:tcPr>
          <w:p>
            <w:pPr>
              <w:spacing w:after="0"/>
              <w:rPr>
                <w:sz w:val="20"/>
                <w:szCs w:val="20"/>
                <w:color w:val="auto"/>
              </w:rPr>
            </w:pPr>
            <w:r>
              <w:rPr>
                <w:rFonts w:ascii="Arial" w:cs="Arial" w:eastAsia="Arial" w:hAnsi="Arial"/>
                <w:sz w:val="18"/>
                <w:szCs w:val="18"/>
                <w:b w:val="1"/>
                <w:bCs w:val="1"/>
                <w:color w:val="auto"/>
              </w:rPr>
              <w:t>PART II</w:t>
            </w:r>
          </w:p>
        </w:tc>
      </w:tr>
      <w:tr>
        <w:trPr>
          <w:trHeight w:val="54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5580" w:type="dxa"/>
            <w:vAlign w:val="bottom"/>
            <w:gridSpan w:val="7"/>
          </w:tcPr>
          <w:p>
            <w:pPr>
              <w:spacing w:after="0"/>
              <w:rPr>
                <w:sz w:val="24"/>
                <w:szCs w:val="24"/>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7080" w:type="dxa"/>
            <w:vAlign w:val="bottom"/>
            <w:gridSpan w:val="13"/>
          </w:tcPr>
          <w:p>
            <w:pPr>
              <w:spacing w:after="0"/>
              <w:rPr>
                <w:sz w:val="20"/>
                <w:szCs w:val="20"/>
                <w:color w:val="auto"/>
              </w:rPr>
            </w:pPr>
            <w:r>
              <w:rPr>
                <w:rFonts w:ascii="Arial" w:cs="Arial" w:eastAsia="Arial" w:hAnsi="Arial"/>
                <w:sz w:val="18"/>
                <w:szCs w:val="18"/>
                <w:color w:val="0000FF"/>
              </w:rPr>
              <w:t>Risk Factors</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2220" w:type="dxa"/>
            <w:vAlign w:val="bottom"/>
          </w:tcPr>
          <w:p>
            <w:pPr>
              <w:spacing w:after="0"/>
              <w:rPr>
                <w:sz w:val="24"/>
                <w:szCs w:val="24"/>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Defaults Upon Senior Securities</w:t>
            </w:r>
          </w:p>
        </w:tc>
        <w:tc>
          <w:tcPr>
            <w:tcW w:w="4520" w:type="dxa"/>
            <w:vAlign w:val="bottom"/>
            <w:gridSpan w:val="3"/>
          </w:tcPr>
          <w:p>
            <w:pPr>
              <w:spacing w:after="0"/>
              <w:rPr>
                <w:sz w:val="24"/>
                <w:szCs w:val="24"/>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Mine Safety Disclosures</w:t>
            </w:r>
          </w:p>
        </w:tc>
        <w:tc>
          <w:tcPr>
            <w:tcW w:w="5140" w:type="dxa"/>
            <w:vAlign w:val="bottom"/>
            <w:gridSpan w:val="5"/>
          </w:tcPr>
          <w:p>
            <w:pPr>
              <w:spacing w:after="0"/>
              <w:rPr>
                <w:sz w:val="24"/>
                <w:szCs w:val="24"/>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7080" w:type="dxa"/>
            <w:vAlign w:val="bottom"/>
            <w:gridSpan w:val="13"/>
          </w:tcPr>
          <w:p>
            <w:pPr>
              <w:spacing w:after="0"/>
              <w:rPr>
                <w:sz w:val="20"/>
                <w:szCs w:val="20"/>
                <w:color w:val="auto"/>
              </w:rPr>
            </w:pPr>
            <w:r>
              <w:rPr>
                <w:rFonts w:ascii="Arial" w:cs="Arial" w:eastAsia="Arial" w:hAnsi="Arial"/>
                <w:sz w:val="18"/>
                <w:szCs w:val="18"/>
                <w:color w:val="0000FF"/>
              </w:rPr>
              <w:t>Other Information</w:t>
            </w:r>
          </w:p>
        </w:tc>
      </w:tr>
      <w:tr>
        <w:trPr>
          <w:trHeight w:val="277"/>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Exhibits</w:t>
            </w:r>
          </w:p>
        </w:tc>
        <w:tc>
          <w:tcPr>
            <w:tcW w:w="20" w:type="dxa"/>
            <w:vAlign w:val="bottom"/>
            <w:tcBorders>
              <w:top w:val="single" w:sz="8" w:color="0000FF"/>
              <w:bottom w:val="single" w:sz="8" w:color="0000EE"/>
            </w:tcBorders>
          </w:tcPr>
          <w:p>
            <w:pPr>
              <w:spacing w:after="0"/>
              <w:rPr>
                <w:sz w:val="24"/>
                <w:szCs w:val="24"/>
                <w:color w:val="auto"/>
              </w:rPr>
            </w:pPr>
          </w:p>
        </w:tc>
        <w:tc>
          <w:tcPr>
            <w:tcW w:w="740" w:type="dxa"/>
            <w:vAlign w:val="bottom"/>
            <w:tcBorders>
              <w:top w:val="single" w:sz="8" w:color="0000FF"/>
            </w:tcBorders>
            <w:gridSpan w:val="3"/>
          </w:tcPr>
          <w:p>
            <w:pPr>
              <w:spacing w:after="0"/>
              <w:rPr>
                <w:sz w:val="24"/>
                <w:szCs w:val="24"/>
                <w:color w:val="auto"/>
              </w:rPr>
            </w:pPr>
          </w:p>
        </w:tc>
        <w:tc>
          <w:tcPr>
            <w:tcW w:w="5680" w:type="dxa"/>
            <w:vAlign w:val="bottom"/>
            <w:gridSpan w:val="8"/>
          </w:tcPr>
          <w:p>
            <w:pPr>
              <w:spacing w:after="0"/>
              <w:rPr>
                <w:sz w:val="24"/>
                <w:szCs w:val="24"/>
                <w:color w:val="auto"/>
              </w:rPr>
            </w:pPr>
          </w:p>
        </w:tc>
      </w:tr>
      <w:tr>
        <w:trPr>
          <w:trHeight w:val="277"/>
        </w:trPr>
        <w:tc>
          <w:tcPr>
            <w:tcW w:w="1140" w:type="dxa"/>
            <w:vAlign w:val="bottom"/>
          </w:tcPr>
          <w:p>
            <w:pPr>
              <w:spacing w:after="0"/>
              <w:rPr>
                <w:sz w:val="24"/>
                <w:szCs w:val="24"/>
                <w:color w:val="auto"/>
              </w:rPr>
            </w:pPr>
          </w:p>
        </w:tc>
        <w:tc>
          <w:tcPr>
            <w:tcW w:w="7080" w:type="dxa"/>
            <w:vAlign w:val="bottom"/>
            <w:gridSpan w:val="13"/>
          </w:tcPr>
          <w:p>
            <w:pPr>
              <w:spacing w:after="0"/>
              <w:rPr>
                <w:sz w:val="20"/>
                <w:szCs w:val="20"/>
                <w:color w:val="auto"/>
              </w:rPr>
            </w:pPr>
            <w:r>
              <w:rPr>
                <w:rFonts w:ascii="Arial" w:cs="Arial" w:eastAsia="Arial" w:hAnsi="Arial"/>
                <w:sz w:val="18"/>
                <w:szCs w:val="18"/>
                <w:color w:val="0000FF"/>
              </w:rPr>
              <w:t>Signatures</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12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502285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-7620</wp:posOffset>
            </wp:positionV>
            <wp:extent cx="6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500" cy="8255"/>
                    </a:xfrm>
                    <a:prstGeom prst="rect">
                      <a:avLst/>
                    </a:prstGeom>
                    <a:noFill/>
                  </pic:spPr>
                </pic:pic>
              </a:graphicData>
            </a:graphic>
          </wp:anchor>
        </w:drawing>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-7620</wp:posOffset>
            </wp:positionV>
            <wp:extent cx="127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-7620</wp:posOffset>
            </wp:positionV>
            <wp:extent cx="127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-7620</wp:posOffset>
            </wp:positionV>
            <wp:extent cx="127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-7620</wp:posOffset>
            </wp:positionV>
            <wp:extent cx="1270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-7620</wp:posOffset>
            </wp:positionV>
            <wp:extent cx="1270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-7620</wp:posOffset>
            </wp:positionV>
            <wp:extent cx="1270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-7620</wp:posOffset>
            </wp:positionV>
            <wp:extent cx="1270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-7620</wp:posOffset>
            </wp:positionV>
            <wp:extent cx="1270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-7620</wp:posOffset>
            </wp:positionV>
            <wp:extent cx="1270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-7620</wp:posOffset>
            </wp:positionV>
            <wp:extent cx="1270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-7620</wp:posOffset>
            </wp:positionV>
            <wp:extent cx="1270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ectPr>
          <w:pgSz w:w="11900" w:h="16838" w:orient="portrait"/>
          <w:cols w:equalWidth="0" w:num="2">
            <w:col w:w="9900" w:space="720"/>
            <w:col w:w="520"/>
          </w:cols>
          <w:pgMar w:left="380" w:top="1440" w:right="379" w:bottom="1440" w:gutter="0" w:footer="0" w:header="0"/>
        </w:sectPr>
      </w:pPr>
    </w:p>
    <w:bookmarkStart w:id="2" w:name="page3"/>
    <w:bookmarkEnd w:id="2"/>
    <w:p>
      <w:pPr>
        <w:spacing w:after="0"/>
        <w:rPr>
          <w:sz w:val="20"/>
          <w:szCs w:val="20"/>
          <w:color w:val="auto"/>
        </w:rPr>
      </w:pPr>
      <w:r>
        <w:rPr>
          <w:rFonts w:ascii="Arial" w:cs="Arial" w:eastAsia="Arial" w:hAnsi="Arial"/>
          <w:sz w:val="23"/>
          <w:szCs w:val="23"/>
          <w:b w:val="1"/>
          <w:bCs w:val="1"/>
          <w:color w:val="auto"/>
        </w:rPr>
        <w:t>GLOSSARY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"we", "our", "us" and "Enbridge"</w:t>
            </w:r>
          </w:p>
        </w:tc>
        <w:tc>
          <w:tcPr>
            <w:tcW w:w="7980" w:type="dxa"/>
            <w:vAlign w:val="bottom"/>
          </w:tcPr>
          <w:p>
            <w:pPr>
              <w:ind w:left="560"/>
              <w:spacing w:after="0"/>
              <w:rPr>
                <w:sz w:val="20"/>
                <w:szCs w:val="20"/>
                <w:color w:val="auto"/>
              </w:rPr>
            </w:pPr>
            <w:r>
              <w:rPr>
                <w:rFonts w:ascii="Arial" w:cs="Arial" w:eastAsia="Arial" w:hAnsi="Arial"/>
                <w:sz w:val="18"/>
                <w:szCs w:val="18"/>
                <w:color w:val="auto"/>
              </w:rPr>
              <w:t>Enbridge Inc.</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AOCI</w:t>
            </w:r>
          </w:p>
        </w:tc>
        <w:tc>
          <w:tcPr>
            <w:tcW w:w="7980" w:type="dxa"/>
            <w:vAlign w:val="bottom"/>
          </w:tcPr>
          <w:p>
            <w:pPr>
              <w:ind w:left="560"/>
              <w:spacing w:after="0" w:line="189" w:lineRule="exact"/>
              <w:rPr>
                <w:sz w:val="20"/>
                <w:szCs w:val="20"/>
                <w:color w:val="auto"/>
              </w:rPr>
            </w:pPr>
            <w:r>
              <w:rPr>
                <w:rFonts w:ascii="Arial" w:cs="Arial" w:eastAsia="Arial" w:hAnsi="Arial"/>
                <w:sz w:val="18"/>
                <w:szCs w:val="18"/>
                <w:color w:val="auto"/>
              </w:rPr>
              <w:t>Accumulated other comprehensive income/(loss)</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Army Corps</w:t>
            </w:r>
          </w:p>
        </w:tc>
        <w:tc>
          <w:tcPr>
            <w:tcW w:w="7980" w:type="dxa"/>
            <w:vAlign w:val="bottom"/>
          </w:tcPr>
          <w:p>
            <w:pPr>
              <w:ind w:left="560"/>
              <w:spacing w:after="0" w:line="189" w:lineRule="exact"/>
              <w:rPr>
                <w:sz w:val="20"/>
                <w:szCs w:val="20"/>
                <w:color w:val="auto"/>
              </w:rPr>
            </w:pPr>
            <w:r>
              <w:rPr>
                <w:rFonts w:ascii="Arial" w:cs="Arial" w:eastAsia="Arial" w:hAnsi="Arial"/>
                <w:sz w:val="18"/>
                <w:szCs w:val="18"/>
                <w:color w:val="auto"/>
              </w:rPr>
              <w:t>the US Army Corps of Engineers</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District Court</w:t>
            </w:r>
          </w:p>
        </w:tc>
        <w:tc>
          <w:tcPr>
            <w:tcW w:w="7980" w:type="dxa"/>
            <w:vAlign w:val="bottom"/>
          </w:tcPr>
          <w:p>
            <w:pPr>
              <w:ind w:left="560"/>
              <w:spacing w:after="0" w:line="189" w:lineRule="exact"/>
              <w:rPr>
                <w:sz w:val="20"/>
                <w:szCs w:val="20"/>
                <w:color w:val="auto"/>
              </w:rPr>
            </w:pPr>
            <w:r>
              <w:rPr>
                <w:rFonts w:ascii="Arial" w:cs="Arial" w:eastAsia="Arial" w:hAnsi="Arial"/>
                <w:sz w:val="18"/>
                <w:szCs w:val="18"/>
                <w:color w:val="auto"/>
              </w:rPr>
              <w:t>the US District Court for the Western District of Wisconsin</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EBITDA</w:t>
            </w:r>
          </w:p>
        </w:tc>
        <w:tc>
          <w:tcPr>
            <w:tcW w:w="7980" w:type="dxa"/>
            <w:vAlign w:val="bottom"/>
          </w:tcPr>
          <w:p>
            <w:pPr>
              <w:ind w:left="560"/>
              <w:spacing w:after="0" w:line="189" w:lineRule="exact"/>
              <w:rPr>
                <w:sz w:val="20"/>
                <w:szCs w:val="20"/>
                <w:color w:val="auto"/>
              </w:rPr>
            </w:pPr>
            <w:r>
              <w:rPr>
                <w:rFonts w:ascii="Arial" w:cs="Arial" w:eastAsia="Arial" w:hAnsi="Arial"/>
                <w:sz w:val="18"/>
                <w:szCs w:val="18"/>
                <w:color w:val="auto"/>
              </w:rPr>
              <w:t>Earnings before interest, income taxes and depreciation and amortization</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EEP</w:t>
            </w:r>
          </w:p>
        </w:tc>
        <w:tc>
          <w:tcPr>
            <w:tcW w:w="7980" w:type="dxa"/>
            <w:vAlign w:val="bottom"/>
          </w:tcPr>
          <w:p>
            <w:pPr>
              <w:ind w:left="560"/>
              <w:spacing w:after="0" w:line="189" w:lineRule="exact"/>
              <w:rPr>
                <w:sz w:val="20"/>
                <w:szCs w:val="20"/>
                <w:color w:val="auto"/>
              </w:rPr>
            </w:pPr>
            <w:r>
              <w:rPr>
                <w:rFonts w:ascii="Arial" w:cs="Arial" w:eastAsia="Arial" w:hAnsi="Arial"/>
                <w:sz w:val="18"/>
                <w:szCs w:val="18"/>
                <w:color w:val="auto"/>
              </w:rPr>
              <w:t>Enbridge Energy Partners, L.P.</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EIS</w:t>
            </w:r>
          </w:p>
        </w:tc>
        <w:tc>
          <w:tcPr>
            <w:tcW w:w="7980" w:type="dxa"/>
            <w:vAlign w:val="bottom"/>
          </w:tcPr>
          <w:p>
            <w:pPr>
              <w:ind w:left="560"/>
              <w:spacing w:after="0" w:line="189" w:lineRule="exact"/>
              <w:rPr>
                <w:sz w:val="20"/>
                <w:szCs w:val="20"/>
                <w:color w:val="auto"/>
              </w:rPr>
            </w:pPr>
            <w:r>
              <w:rPr>
                <w:rFonts w:ascii="Arial" w:cs="Arial" w:eastAsia="Arial" w:hAnsi="Arial"/>
                <w:sz w:val="18"/>
                <w:szCs w:val="18"/>
                <w:color w:val="auto"/>
              </w:rPr>
              <w:t>Environmental Impact Statement</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Enbridge Gas Ontario</w:t>
            </w:r>
          </w:p>
        </w:tc>
        <w:tc>
          <w:tcPr>
            <w:tcW w:w="7980" w:type="dxa"/>
            <w:vAlign w:val="bottom"/>
          </w:tcPr>
          <w:p>
            <w:pPr>
              <w:ind w:left="560"/>
              <w:spacing w:after="0" w:line="189" w:lineRule="exact"/>
              <w:rPr>
                <w:sz w:val="20"/>
                <w:szCs w:val="20"/>
                <w:color w:val="auto"/>
              </w:rPr>
            </w:pPr>
            <w:r>
              <w:rPr>
                <w:rFonts w:ascii="Arial" w:cs="Arial" w:eastAsia="Arial" w:hAnsi="Arial"/>
                <w:sz w:val="18"/>
                <w:szCs w:val="18"/>
                <w:color w:val="auto"/>
              </w:rPr>
              <w:t>Enbridge Gas Inc.</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Exchange Act</w:t>
            </w:r>
          </w:p>
        </w:tc>
        <w:tc>
          <w:tcPr>
            <w:tcW w:w="7980" w:type="dxa"/>
            <w:vAlign w:val="bottom"/>
          </w:tcPr>
          <w:p>
            <w:pPr>
              <w:ind w:left="560"/>
              <w:spacing w:after="0" w:line="189" w:lineRule="exact"/>
              <w:rPr>
                <w:sz w:val="20"/>
                <w:szCs w:val="20"/>
                <w:color w:val="auto"/>
              </w:rPr>
            </w:pPr>
            <w:r>
              <w:rPr>
                <w:rFonts w:ascii="Arial" w:cs="Arial" w:eastAsia="Arial" w:hAnsi="Arial"/>
                <w:sz w:val="18"/>
                <w:szCs w:val="18"/>
                <w:color w:val="auto"/>
              </w:rPr>
              <w:t>United States Securities Exchange Act of 1934, as amended</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NGL</w:t>
            </w:r>
          </w:p>
        </w:tc>
        <w:tc>
          <w:tcPr>
            <w:tcW w:w="7980" w:type="dxa"/>
            <w:vAlign w:val="bottom"/>
          </w:tcPr>
          <w:p>
            <w:pPr>
              <w:ind w:left="560"/>
              <w:spacing w:after="0" w:line="189" w:lineRule="exact"/>
              <w:rPr>
                <w:sz w:val="20"/>
                <w:szCs w:val="20"/>
                <w:color w:val="auto"/>
              </w:rPr>
            </w:pPr>
            <w:r>
              <w:rPr>
                <w:rFonts w:ascii="Arial" w:cs="Arial" w:eastAsia="Arial" w:hAnsi="Arial"/>
                <w:sz w:val="18"/>
                <w:szCs w:val="18"/>
                <w:color w:val="auto"/>
              </w:rPr>
              <w:t>Natural Gas Liquids</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OCI</w:t>
            </w:r>
          </w:p>
        </w:tc>
        <w:tc>
          <w:tcPr>
            <w:tcW w:w="7980" w:type="dxa"/>
            <w:vAlign w:val="bottom"/>
          </w:tcPr>
          <w:p>
            <w:pPr>
              <w:ind w:left="560"/>
              <w:spacing w:after="0" w:line="189" w:lineRule="exact"/>
              <w:rPr>
                <w:sz w:val="20"/>
                <w:szCs w:val="20"/>
                <w:color w:val="auto"/>
              </w:rPr>
            </w:pPr>
            <w:r>
              <w:rPr>
                <w:rFonts w:ascii="Arial" w:cs="Arial" w:eastAsia="Arial" w:hAnsi="Arial"/>
                <w:sz w:val="18"/>
                <w:szCs w:val="18"/>
                <w:color w:val="auto"/>
              </w:rPr>
              <w:t>Other comprehensive income/(loss)</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OEB</w:t>
            </w:r>
          </w:p>
        </w:tc>
        <w:tc>
          <w:tcPr>
            <w:tcW w:w="7980" w:type="dxa"/>
            <w:vAlign w:val="bottom"/>
          </w:tcPr>
          <w:p>
            <w:pPr>
              <w:ind w:left="560"/>
              <w:spacing w:after="0" w:line="189" w:lineRule="exact"/>
              <w:rPr>
                <w:sz w:val="20"/>
                <w:szCs w:val="20"/>
                <w:color w:val="auto"/>
              </w:rPr>
            </w:pPr>
            <w:r>
              <w:rPr>
                <w:rFonts w:ascii="Arial" w:cs="Arial" w:eastAsia="Arial" w:hAnsi="Arial"/>
                <w:sz w:val="18"/>
                <w:szCs w:val="18"/>
                <w:color w:val="auto"/>
              </w:rPr>
              <w:t>Ontario Energy Board</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OPEB</w:t>
            </w:r>
          </w:p>
        </w:tc>
        <w:tc>
          <w:tcPr>
            <w:tcW w:w="7980" w:type="dxa"/>
            <w:vAlign w:val="bottom"/>
          </w:tcPr>
          <w:p>
            <w:pPr>
              <w:ind w:left="560"/>
              <w:spacing w:after="0" w:line="189" w:lineRule="exact"/>
              <w:rPr>
                <w:sz w:val="20"/>
                <w:szCs w:val="20"/>
                <w:color w:val="auto"/>
              </w:rPr>
            </w:pPr>
            <w:r>
              <w:rPr>
                <w:rFonts w:ascii="Arial" w:cs="Arial" w:eastAsia="Arial" w:hAnsi="Arial"/>
                <w:sz w:val="18"/>
                <w:szCs w:val="18"/>
                <w:color w:val="auto"/>
              </w:rPr>
              <w:t>Other postretirement benefit obligations</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RNG</w:t>
            </w:r>
          </w:p>
        </w:tc>
        <w:tc>
          <w:tcPr>
            <w:tcW w:w="7980" w:type="dxa"/>
            <w:vAlign w:val="bottom"/>
          </w:tcPr>
          <w:p>
            <w:pPr>
              <w:ind w:left="560"/>
              <w:spacing w:after="0" w:line="189" w:lineRule="exact"/>
              <w:rPr>
                <w:sz w:val="20"/>
                <w:szCs w:val="20"/>
                <w:color w:val="auto"/>
              </w:rPr>
            </w:pPr>
            <w:r>
              <w:rPr>
                <w:rFonts w:ascii="Arial" w:cs="Arial" w:eastAsia="Arial" w:hAnsi="Arial"/>
                <w:sz w:val="18"/>
                <w:szCs w:val="18"/>
                <w:color w:val="auto"/>
              </w:rPr>
              <w:t>Renewable natural gas</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SEP</w:t>
            </w:r>
          </w:p>
        </w:tc>
        <w:tc>
          <w:tcPr>
            <w:tcW w:w="7980" w:type="dxa"/>
            <w:vAlign w:val="bottom"/>
          </w:tcPr>
          <w:p>
            <w:pPr>
              <w:ind w:left="560"/>
              <w:spacing w:after="0" w:line="189" w:lineRule="exact"/>
              <w:rPr>
                <w:sz w:val="20"/>
                <w:szCs w:val="20"/>
                <w:color w:val="auto"/>
              </w:rPr>
            </w:pPr>
            <w:r>
              <w:rPr>
                <w:rFonts w:ascii="Arial" w:cs="Arial" w:eastAsia="Arial" w:hAnsi="Arial"/>
                <w:sz w:val="18"/>
                <w:szCs w:val="18"/>
                <w:color w:val="auto"/>
              </w:rPr>
              <w:t>Spectra Energy Partners, LP</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the Band</w:t>
            </w:r>
          </w:p>
        </w:tc>
        <w:tc>
          <w:tcPr>
            <w:tcW w:w="7980" w:type="dxa"/>
            <w:vAlign w:val="bottom"/>
          </w:tcPr>
          <w:p>
            <w:pPr>
              <w:ind w:left="560"/>
              <w:spacing w:after="0" w:line="189" w:lineRule="exact"/>
              <w:rPr>
                <w:sz w:val="20"/>
                <w:szCs w:val="20"/>
                <w:color w:val="auto"/>
              </w:rPr>
            </w:pPr>
            <w:r>
              <w:rPr>
                <w:rFonts w:ascii="Arial" w:cs="Arial" w:eastAsia="Arial" w:hAnsi="Arial"/>
                <w:sz w:val="18"/>
                <w:szCs w:val="18"/>
                <w:color w:val="auto"/>
              </w:rPr>
              <w:t>Bad River Band of the Lake Superior Tribe of Chippewa Indians</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the Partnerships</w:t>
            </w:r>
          </w:p>
        </w:tc>
        <w:tc>
          <w:tcPr>
            <w:tcW w:w="7980" w:type="dxa"/>
            <w:vAlign w:val="bottom"/>
          </w:tcPr>
          <w:p>
            <w:pPr>
              <w:ind w:left="560"/>
              <w:spacing w:after="0" w:line="189" w:lineRule="exact"/>
              <w:rPr>
                <w:sz w:val="20"/>
                <w:szCs w:val="20"/>
                <w:color w:val="auto"/>
              </w:rPr>
            </w:pPr>
            <w:r>
              <w:rPr>
                <w:rFonts w:ascii="Arial" w:cs="Arial" w:eastAsia="Arial" w:hAnsi="Arial"/>
                <w:sz w:val="18"/>
                <w:szCs w:val="18"/>
                <w:color w:val="auto"/>
              </w:rPr>
              <w:t>Spectra Energy Partners, LP and Enbridge Energy Partners, L.P.</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the Reservation</w:t>
            </w:r>
          </w:p>
        </w:tc>
        <w:tc>
          <w:tcPr>
            <w:tcW w:w="7980" w:type="dxa"/>
            <w:vAlign w:val="bottom"/>
          </w:tcPr>
          <w:p>
            <w:pPr>
              <w:ind w:left="560"/>
              <w:spacing w:after="0" w:line="189" w:lineRule="exact"/>
              <w:rPr>
                <w:sz w:val="20"/>
                <w:szCs w:val="20"/>
                <w:color w:val="auto"/>
              </w:rPr>
            </w:pPr>
            <w:r>
              <w:rPr>
                <w:rFonts w:ascii="Arial" w:cs="Arial" w:eastAsia="Arial" w:hAnsi="Arial"/>
                <w:sz w:val="18"/>
                <w:szCs w:val="18"/>
                <w:color w:val="auto"/>
              </w:rPr>
              <w:t>The Bad River Reservation</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US</w:t>
            </w:r>
          </w:p>
        </w:tc>
        <w:tc>
          <w:tcPr>
            <w:tcW w:w="7980" w:type="dxa"/>
            <w:vAlign w:val="bottom"/>
          </w:tcPr>
          <w:p>
            <w:pPr>
              <w:ind w:left="560"/>
              <w:spacing w:after="0" w:line="189" w:lineRule="exact"/>
              <w:rPr>
                <w:sz w:val="20"/>
                <w:szCs w:val="20"/>
                <w:color w:val="auto"/>
              </w:rPr>
            </w:pPr>
            <w:r>
              <w:rPr>
                <w:rFonts w:ascii="Arial" w:cs="Arial" w:eastAsia="Arial" w:hAnsi="Arial"/>
                <w:sz w:val="18"/>
                <w:szCs w:val="18"/>
                <w:color w:val="auto"/>
              </w:rPr>
              <w:t>United States of America</w:t>
            </w: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8"/>
                <w:szCs w:val="18"/>
                <w:color w:val="auto"/>
              </w:rPr>
              <w:t>US Gas Utilities / the Acquisitions</w:t>
            </w:r>
          </w:p>
        </w:tc>
        <w:tc>
          <w:tcPr>
            <w:tcW w:w="7980" w:type="dxa"/>
            <w:vAlign w:val="bottom"/>
          </w:tcPr>
          <w:p>
            <w:pPr>
              <w:ind w:left="560"/>
              <w:spacing w:after="0" w:line="189" w:lineRule="exact"/>
              <w:rPr>
                <w:sz w:val="20"/>
                <w:szCs w:val="20"/>
                <w:color w:val="auto"/>
              </w:rPr>
            </w:pPr>
            <w:r>
              <w:rPr>
                <w:rFonts w:ascii="Arial" w:cs="Arial" w:eastAsia="Arial" w:hAnsi="Arial"/>
                <w:sz w:val="18"/>
                <w:szCs w:val="18"/>
                <w:color w:val="auto"/>
              </w:rPr>
              <w:t>Enbridge Inc.'s acquisitions of three US gas utilities from Dominion Energy, Inc.</w:t>
            </w:r>
          </w:p>
        </w:tc>
      </w:t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Vector</w:t>
            </w:r>
          </w:p>
        </w:tc>
        <w:tc>
          <w:tcPr>
            <w:tcW w:w="7980" w:type="dxa"/>
            <w:vAlign w:val="bottom"/>
          </w:tcPr>
          <w:p>
            <w:pPr>
              <w:ind w:left="560"/>
              <w:spacing w:after="0"/>
              <w:rPr>
                <w:sz w:val="20"/>
                <w:szCs w:val="20"/>
                <w:color w:val="auto"/>
              </w:rPr>
            </w:pPr>
            <w:r>
              <w:rPr>
                <w:rFonts w:ascii="Arial" w:cs="Arial" w:eastAsia="Arial" w:hAnsi="Arial"/>
                <w:sz w:val="18"/>
                <w:szCs w:val="18"/>
                <w:color w:val="auto"/>
              </w:rPr>
              <w:t>Vector Pipeline L.P.</w:t>
            </w:r>
          </w:p>
        </w:tc>
      </w:tr>
      <w:tr>
        <w:trPr>
          <w:trHeight w:val="823"/>
        </w:trPr>
        <w:tc>
          <w:tcPr>
            <w:tcW w:w="3260" w:type="dxa"/>
            <w:vAlign w:val="bottom"/>
          </w:tcPr>
          <w:p>
            <w:pPr>
              <w:spacing w:after="0"/>
              <w:rPr>
                <w:sz w:val="24"/>
                <w:szCs w:val="24"/>
                <w:color w:val="auto"/>
              </w:rPr>
            </w:pPr>
          </w:p>
        </w:tc>
        <w:tc>
          <w:tcPr>
            <w:tcW w:w="7980" w:type="dxa"/>
            <w:vAlign w:val="bottom"/>
          </w:tcPr>
          <w:p>
            <w:pPr>
              <w:ind w:left="2320"/>
              <w:spacing w:after="0"/>
              <w:rPr>
                <w:sz w:val="20"/>
                <w:szCs w:val="20"/>
                <w:color w:val="auto"/>
              </w:rPr>
            </w:pPr>
            <w:r>
              <w:rPr>
                <w:rFonts w:ascii="Arial" w:cs="Arial" w:eastAsia="Arial" w:hAnsi="Arial"/>
                <w:sz w:val="18"/>
                <w:szCs w:val="18"/>
                <w:color w:val="auto"/>
              </w:rPr>
              <w:t>3</w:t>
            </w:r>
          </w:p>
        </w:tc>
      </w:tr>
      <w:tr>
        <w:trPr>
          <w:trHeight w:val="786"/>
        </w:trPr>
        <w:tc>
          <w:tcPr>
            <w:tcW w:w="326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3" w:name="page4"/>
    <w:bookmarkEnd w:id="3"/>
    <w:p>
      <w:pPr>
        <w:spacing w:after="0"/>
        <w:rPr>
          <w:sz w:val="20"/>
          <w:szCs w:val="20"/>
          <w:color w:val="auto"/>
        </w:rPr>
      </w:pPr>
      <w:r>
        <w:rPr>
          <w:rFonts w:ascii="Arial" w:cs="Arial" w:eastAsia="Arial" w:hAnsi="Arial"/>
          <w:sz w:val="23"/>
          <w:szCs w:val="23"/>
          <w:b w:val="1"/>
          <w:bCs w:val="1"/>
          <w:color w:val="auto"/>
        </w:rPr>
        <w:t>CONVENTIONS</w:t>
      </w:r>
    </w:p>
    <w:p>
      <w:pPr>
        <w:spacing w:after="0" w:line="22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terms "we", "our", "us" and "Enbridge" as used in this report refer collectively to Enbridge Inc. and its subsidiaries unless the context suggests otherwise. These terms are used for convenience only and are not intended as a precise description of any separate legal entity within Enbridge.</w:t>
      </w:r>
    </w:p>
    <w:p>
      <w:pPr>
        <w:spacing w:after="0" w:line="14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Unless otherwise specified, all dollar amounts are expressed in Canadian dollars, all references to "dollars" or "$" are to Canadian dollars and all references to "US$" are to United States (US) dollars. All amounts are provided on a before-tax basis, unless otherwise stated.</w:t>
      </w:r>
    </w:p>
    <w:p>
      <w:pPr>
        <w:spacing w:after="0" w:line="11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FORWARD-LOOKING INFORMATION</w:t>
      </w:r>
    </w:p>
    <w:p>
      <w:pPr>
        <w:spacing w:after="0" w:line="229" w:lineRule="exact"/>
        <w:rPr>
          <w:sz w:val="20"/>
          <w:szCs w:val="20"/>
          <w:color w:val="auto"/>
        </w:rPr>
      </w:pPr>
    </w:p>
    <w:p>
      <w:pPr>
        <w:spacing w:after="0" w:line="244" w:lineRule="auto"/>
        <w:rPr>
          <w:sz w:val="20"/>
          <w:szCs w:val="20"/>
          <w:color w:val="auto"/>
        </w:rPr>
      </w:pPr>
      <w:r>
        <w:rPr>
          <w:rFonts w:ascii="Arial" w:cs="Arial" w:eastAsia="Arial" w:hAnsi="Arial"/>
          <w:sz w:val="16"/>
          <w:szCs w:val="16"/>
          <w:i w:val="1"/>
          <w:iCs w:val="1"/>
          <w:color w:val="auto"/>
        </w:rPr>
        <w:t>Forward-looking information, or forward-looking statements, have been included in this quarterly report on Form 10-Q to provide information about us and our subsidiaries and affiliates, including management’s assessment of our and our subsidiaries’ future plans and operations. This information may not be appropriate for other purposes. Forward-looking statements are typically identified by words such as "anticipate", "believe", "estimate", "expect", "forecast", "intend", "likely", "plan", "project", "target" and similar words suggesting future outcomes or statements regarding an outlook. Forward-looking information or statements included or incorporated by reference in this document include, but are not limited to, statements with respect to the following: our corporate vision and strategy, including strategic priorities and enablers; expected supply of, demand for, exports of and prices of crude oil, natural gas, natural gas liquids (NGL), liquefied natural gas (LNG), renewable natural gas (RNG) and renewable energy; energy evolution and lower-carbon energy, and our approach thereto; our sustainability goals, practices and performance; industry and market conditions; anticipated utilization of our assets; dividend growth and payout policy; financial strength and flexibility; expectations on sources of liquidity and sufficiency of financial resources; expected strategic priorities and performance of the Liquids Pipelines, Gas Transmission, Gas Distribution and Storage, and Renewable Power Generation businesses; the characteristics, anticipated benefits, financing and timing of our acquisitions, dispositions and other transactions, including the anticipated benefits of the acquisitions of three US gas utilities (US Gas Utilities) from Dominion Energy, Inc. (the Acquisitions); expected future actions of regulators and courts; government trade policies and potential impacts of potential and announced tariffs, duties, fees, economic sanctions, or other trade measures and the timing thereof; expected costs, benefits and in-service dates related to announced projects and projects under construction; expected capital expenditures; investable capacity and capital allocation priorities; expected equity funding requirements for our commercially secured growth program; expected future growth, development and expansion opportunities; expected optimization and efficiency opportunities; expectations about our joint venture partners' ability to complete and finance projects under construction; our ability to successfully integrate the US Gas Utilities; expected closing of acquisitions, dispositions and other transactions and the timing thereof; toll and rate case discussions and proceedings and anticipated timeline and impact therefrom, including those relating to the Gas Distribution and Storage and Gas Transmission businesses; operational, industry, regulatory, climate change and other risks associated with our businesses; and our assessment of the potential impact of the various risk factors identified herein.</w:t>
      </w:r>
    </w:p>
    <w:p>
      <w:pPr>
        <w:spacing w:after="0" w:line="160"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i w:val="1"/>
          <w:iCs w:val="1"/>
          <w:color w:val="auto"/>
        </w:rPr>
        <w:t>Although we believe these forward-looking statements are reasonable based on the information available on the date such statements are made and processes used to prepare the information, such statements are not guarantees of future performance and readers are cautioned against placing undue reliance on forward-looking statements. By their nature, these statements involve a variety of assumptions, known and unknown risks and uncertainties and other factors, which may cause actual results, levels of activity and achievements to differ materially from those expressed or implied by such statements. Material assumptions include the following: the expected supply of, demand for, export of and prices of crude oil, natural gas, NGL, LNG, RNG and renewable energy; anticipated utilization of our assets; exchange rates; inflation; interest rates; tariffs and trade policies; availability and price of labor and construction materials; the stability of our supply chain; operational reliability; maintenance of support and regulatory approvals for our projects and transactions; anticipated in-service dates; weather; the timing, terms and closing of acquisitions, dispositions and other transactions; the realization of anticipated benefits of transactions, including the Acquisitions; governmental legislation; litigation; estimated future dividends and impact of our dividend policy on our future cash flows; our credit ratings; capital project funding; hedging program; expected earnings before interest, income taxes, and depreciation and amortization (EBITDA); expected earnings/(loss); expected future cash flows; and expected distributable cash flow. Assumptions regarding the expected supply of and demand for crude oil, natural gas, NGL, LNG, RNG and renewable energy, and the prices of these commodities, are material to and underlie all forward-looking statements, as they may impact current and future levels of demand for our services. Similarly, exchange rates, inflation, interest rates and tariffs impact the economies and business environments in which we operate and may impact levels of demand for our services and cost of inputs and are therefore inherent in all forward-looking statements. The most relevant assumptions associated with forward-looking statements regarding</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2" w:right="359" w:bottom="1440" w:gutter="0" w:footer="0" w:header="0"/>
        </w:sectPr>
      </w:pPr>
    </w:p>
    <w:bookmarkStart w:id="4" w:name="page5"/>
    <w:bookmarkEnd w:id="4"/>
    <w:p>
      <w:pPr>
        <w:ind w:right="360"/>
        <w:spacing w:after="0" w:line="253" w:lineRule="auto"/>
        <w:rPr>
          <w:sz w:val="20"/>
          <w:szCs w:val="20"/>
          <w:color w:val="auto"/>
        </w:rPr>
      </w:pPr>
      <w:r>
        <w:rPr>
          <w:rFonts w:ascii="Arial" w:cs="Arial" w:eastAsia="Arial" w:hAnsi="Arial"/>
          <w:sz w:val="16"/>
          <w:szCs w:val="16"/>
          <w:i w:val="1"/>
          <w:iCs w:val="1"/>
          <w:color w:val="auto"/>
        </w:rPr>
        <w:t>announced projects and projects under construction, including estimated completion dates and expected capital expenditures, include the following: the availability and price of labor and construction materials; the stability of our supply chain; the effects of inflation and foreign exchange rates on labor and material costs; the effects of interest rates on borrowing costs; the impact of weather; and customer, government, court and regulatory approvals on construction and in-service schedules and cost recovery regimes.</w:t>
      </w:r>
    </w:p>
    <w:p>
      <w:pPr>
        <w:spacing w:after="0" w:line="156" w:lineRule="exact"/>
        <w:rPr>
          <w:sz w:val="20"/>
          <w:szCs w:val="20"/>
          <w:color w:val="auto"/>
        </w:rPr>
      </w:pPr>
    </w:p>
    <w:p>
      <w:pPr>
        <w:spacing w:after="0" w:line="246" w:lineRule="auto"/>
        <w:rPr>
          <w:sz w:val="20"/>
          <w:szCs w:val="20"/>
          <w:color w:val="auto"/>
        </w:rPr>
      </w:pPr>
      <w:r>
        <w:rPr>
          <w:rFonts w:ascii="Arial" w:cs="Arial" w:eastAsia="Arial" w:hAnsi="Arial"/>
          <w:sz w:val="16"/>
          <w:szCs w:val="16"/>
          <w:i w:val="1"/>
          <w:iCs w:val="1"/>
          <w:color w:val="auto"/>
        </w:rPr>
        <w:t>Our forward-looking statements are subject to risks and uncertainties pertaining to the successful execution of our strategic priorities; operating performance; legislative and regulatory parameters; litigation; acquisitions, dispositions and other transactions and the realization of anticipated benefits therefrom (including the anticipated benefits from the Acquisitions); evolving government trade policies, including potential and announced tariffs, duties, fees, economic sanctions or other trade measures; operational dependence on third parties; dividend policy; project approval and support; renewals of rights-of-way; weather; economic and competitive conditions; public opinion; changes in tax laws and tax rates; exchange rates; inflation; interest rates; commodity prices; access to and cost of capital; our ability to maintain adequate insurance in the future at commercially reasonable rates and terms; political decisions; global geopolitical conflicts and conditions; and the supply of, demand for and prices of commodities and other alternative energy, including but not limited to, those risks and uncertainties discussed in this quarterly report on Form 10-Q and in our other filings with Canadian and US securities regulators. The impact of any one assumption, risk, uncertainty or factor on a particular forward-looking statement is not determinable with certainty as these are interdependent, and our future course of action depends on management’s assessment of all information available at the relevant time. Except to the extent required by applicable law, we assume no obligation to publicly update or revise any forward-looking statements made in this quarterly report on Form 10-Q or otherwise, whether as a result of new information, future events or otherwise. All forward-looking statements, whether written or oral, attributable to us or persons acting on our behalf, are expressly qualified in their entirety by these cautionary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NON-GAAP AND OTHER FINANCIAL MEASURES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Part I. </w:t>
      </w:r>
      <w:r>
        <w:rPr>
          <w:rFonts w:ascii="Arial" w:cs="Arial" w:eastAsia="Arial" w:hAnsi="Arial"/>
          <w:sz w:val="16"/>
          <w:szCs w:val="16"/>
          <w:color w:val="auto"/>
        </w:rPr>
        <w:t>Item 2. Management’s Discussion and Analysis of Financial Condition and Results of Operations</w:t>
      </w:r>
      <w:r>
        <w:rPr>
          <w:rFonts w:ascii="Arial" w:cs="Arial" w:eastAsia="Arial" w:hAnsi="Arial"/>
          <w:sz w:val="16"/>
          <w:szCs w:val="16"/>
          <w:i w:val="1"/>
          <w:iCs w:val="1"/>
          <w:color w:val="auto"/>
        </w:rPr>
        <w:t xml:space="preserve"> (MD&amp;A) in this quarterly report on Form 10-Q makes</w:t>
      </w:r>
    </w:p>
    <w:p>
      <w:pPr>
        <w:spacing w:after="0" w:line="21"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i w:val="1"/>
          <w:iCs w:val="1"/>
          <w:color w:val="auto"/>
        </w:rPr>
        <w:t>reference to non-GAAP and other financial measures, including EBITDA. EBITDA is defined as earnings before interest, income taxes and depreciation and amortization. Management uses EBITDA to assess performance of Enbridge and to set targets. Management believes the presentation of EBITDA gives useful information to investors as it provides increased transparency and insight into the performance of Enbridge.</w:t>
      </w:r>
    </w:p>
    <w:p>
      <w:pPr>
        <w:spacing w:after="0" w:line="16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i w:val="1"/>
          <w:iCs w:val="1"/>
          <w:color w:val="auto"/>
        </w:rPr>
        <w:t>The non-GAAP and other financial measures are not measures that have a standardized meaning prescribed by the accounting principles generally accepted in the US (US GAAP) and are not US GAAP measures. Therefore, these measures may not be comparable with similar measures presented by other issuers. A reconciliation of historical non-GAAP and other financial measures to the most directly comparable GAAP measures is set out in this MD&amp;A and is available on our website. Additional information on non-GAAP and other financial measures may be found on our website, www.sedarplus.ca or www.sec.gov.</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0" w:right="359" w:bottom="1440" w:gutter="0" w:footer="0" w:header="0"/>
        </w:sectPr>
      </w:pPr>
    </w:p>
    <w:bookmarkStart w:id="5" w:name="page6"/>
    <w:bookmarkEnd w:id="5"/>
    <w:p>
      <w:pPr>
        <w:ind w:left="3340"/>
        <w:spacing w:after="0"/>
        <w:rPr>
          <w:sz w:val="20"/>
          <w:szCs w:val="20"/>
          <w:color w:val="auto"/>
        </w:rPr>
      </w:pPr>
      <w:r>
        <w:rPr>
          <w:rFonts w:ascii="Arial" w:cs="Arial" w:eastAsia="Arial" w:hAnsi="Arial"/>
          <w:sz w:val="27"/>
          <w:szCs w:val="27"/>
          <w:b w:val="1"/>
          <w:bCs w:val="1"/>
          <w:color w:val="auto"/>
        </w:rPr>
        <w:t>PART I - 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ENBRIDGE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CONSOLIDATED STATEMENTS OF EARNINGS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7"/>
                <w:szCs w:val="17"/>
                <w:color w:val="auto"/>
              </w:rPr>
            </w:pPr>
          </w:p>
        </w:tc>
        <w:tc>
          <w:tcPr>
            <w:tcW w:w="2640" w:type="dxa"/>
            <w:vAlign w:val="bottom"/>
            <w:gridSpan w:val="3"/>
          </w:tcPr>
          <w:p>
            <w:pPr>
              <w:jc w:val="center"/>
              <w:ind w:right="51"/>
              <w:spacing w:after="0"/>
              <w:rPr>
                <w:sz w:val="20"/>
                <w:szCs w:val="20"/>
                <w:color w:val="auto"/>
              </w:rPr>
            </w:pPr>
            <w:r>
              <w:rPr>
                <w:rFonts w:ascii="Arial" w:cs="Arial" w:eastAsia="Arial" w:hAnsi="Arial"/>
                <w:sz w:val="18"/>
                <w:szCs w:val="18"/>
                <w:color w:val="auto"/>
                <w:w w:val="99"/>
              </w:rPr>
              <w:t>Three months ended</w:t>
            </w:r>
          </w:p>
        </w:tc>
      </w:tr>
      <w:tr>
        <w:trPr>
          <w:trHeight w:val="221"/>
        </w:trPr>
        <w:tc>
          <w:tcPr>
            <w:tcW w:w="8600" w:type="dxa"/>
            <w:vAlign w:val="bottom"/>
          </w:tcPr>
          <w:p>
            <w:pPr>
              <w:spacing w:after="0"/>
              <w:rPr>
                <w:sz w:val="19"/>
                <w:szCs w:val="19"/>
                <w:color w:val="auto"/>
              </w:rPr>
            </w:pPr>
          </w:p>
        </w:tc>
        <w:tc>
          <w:tcPr>
            <w:tcW w:w="1820" w:type="dxa"/>
            <w:vAlign w:val="bottom"/>
            <w:tcBorders>
              <w:bottom w:val="single" w:sz="8" w:color="auto"/>
            </w:tcBorders>
            <w:gridSpan w:val="2"/>
          </w:tcPr>
          <w:p>
            <w:pPr>
              <w:jc w:val="center"/>
              <w:ind w:left="611"/>
              <w:spacing w:after="0"/>
              <w:rPr>
                <w:sz w:val="20"/>
                <w:szCs w:val="20"/>
                <w:color w:val="auto"/>
              </w:rPr>
            </w:pPr>
            <w:r>
              <w:rPr>
                <w:rFonts w:ascii="Arial" w:cs="Arial" w:eastAsia="Arial" w:hAnsi="Arial"/>
                <w:sz w:val="18"/>
                <w:szCs w:val="18"/>
                <w:color w:val="auto"/>
                <w:w w:val="99"/>
              </w:rPr>
              <w:t>March 31,</w:t>
            </w:r>
          </w:p>
        </w:tc>
        <w:tc>
          <w:tcPr>
            <w:tcW w:w="820" w:type="dxa"/>
            <w:vAlign w:val="bottom"/>
            <w:tcBorders>
              <w:bottom w:val="single" w:sz="8" w:color="auto"/>
            </w:tcBorders>
          </w:tcPr>
          <w:p>
            <w:pPr>
              <w:spacing w:after="0"/>
              <w:rPr>
                <w:sz w:val="19"/>
                <w:szCs w:val="19"/>
                <w:color w:val="auto"/>
              </w:rPr>
            </w:pPr>
          </w:p>
        </w:tc>
      </w:tr>
      <w:tr>
        <w:trPr>
          <w:trHeight w:val="183"/>
        </w:trPr>
        <w:tc>
          <w:tcPr>
            <w:tcW w:w="86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b w:val="1"/>
                <w:bCs w:val="1"/>
                <w:color w:val="auto"/>
              </w:rPr>
              <w:t>2026</w:t>
            </w: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2025</w:t>
            </w:r>
          </w:p>
        </w:tc>
      </w:tr>
      <w:tr>
        <w:trPr>
          <w:trHeight w:val="115"/>
        </w:trPr>
        <w:tc>
          <w:tcPr>
            <w:tcW w:w="8600" w:type="dxa"/>
            <w:vAlign w:val="bottom"/>
          </w:tcPr>
          <w:p>
            <w:pPr>
              <w:spacing w:after="0" w:line="115" w:lineRule="exact"/>
              <w:rPr>
                <w:sz w:val="20"/>
                <w:szCs w:val="20"/>
                <w:color w:val="auto"/>
              </w:rPr>
            </w:pPr>
            <w:r>
              <w:rPr>
                <w:rFonts w:ascii="Arial" w:cs="Arial" w:eastAsia="Arial" w:hAnsi="Arial"/>
                <w:sz w:val="13"/>
                <w:szCs w:val="13"/>
                <w:i w:val="1"/>
                <w:iCs w:val="1"/>
                <w:color w:val="auto"/>
              </w:rPr>
              <w:t>(unaudited; millions of Canadian dollars, except per share amounts)</w:t>
            </w:r>
          </w:p>
        </w:tc>
        <w:tc>
          <w:tcPr>
            <w:tcW w:w="1300" w:type="dxa"/>
            <w:vAlign w:val="bottom"/>
            <w:shd w:val="clear" w:color="auto" w:fill="DDDDDD"/>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84"/>
        </w:trPr>
        <w:tc>
          <w:tcPr>
            <w:tcW w:w="8600" w:type="dxa"/>
            <w:vAlign w:val="bottom"/>
          </w:tcPr>
          <w:p>
            <w:pPr>
              <w:spacing w:after="0" w:line="183" w:lineRule="exact"/>
              <w:rPr>
                <w:sz w:val="20"/>
                <w:szCs w:val="20"/>
                <w:color w:val="auto"/>
              </w:rPr>
            </w:pPr>
            <w:r>
              <w:rPr>
                <w:rFonts w:ascii="Arial" w:cs="Arial" w:eastAsia="Arial" w:hAnsi="Arial"/>
                <w:sz w:val="18"/>
                <w:szCs w:val="18"/>
                <w:color w:val="auto"/>
              </w:rPr>
              <w:t>Operating revenues</w:t>
            </w:r>
          </w:p>
        </w:tc>
        <w:tc>
          <w:tcPr>
            <w:tcW w:w="1300" w:type="dxa"/>
            <w:vAlign w:val="bottom"/>
            <w:shd w:val="clear" w:color="auto" w:fill="DDDDDD"/>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8600" w:type="dxa"/>
            <w:vAlign w:val="bottom"/>
          </w:tcPr>
          <w:p>
            <w:pPr>
              <w:ind w:left="120"/>
              <w:spacing w:after="0" w:line="189" w:lineRule="exact"/>
              <w:rPr>
                <w:sz w:val="20"/>
                <w:szCs w:val="20"/>
                <w:color w:val="auto"/>
              </w:rPr>
            </w:pPr>
            <w:r>
              <w:rPr>
                <w:rFonts w:ascii="Arial" w:cs="Arial" w:eastAsia="Arial" w:hAnsi="Arial"/>
                <w:sz w:val="18"/>
                <w:szCs w:val="18"/>
                <w:color w:val="auto"/>
              </w:rPr>
              <w:t>Commodity sales</w:t>
            </w:r>
          </w:p>
        </w:tc>
        <w:tc>
          <w:tcPr>
            <w:tcW w:w="1300" w:type="dxa"/>
            <w:vAlign w:val="bottom"/>
            <w:shd w:val="clear" w:color="auto" w:fill="DDDDDD"/>
          </w:tcPr>
          <w:p>
            <w:pPr>
              <w:jc w:val="right"/>
              <w:ind w:right="31"/>
              <w:spacing w:after="0" w:line="189" w:lineRule="exact"/>
              <w:rPr>
                <w:sz w:val="20"/>
                <w:szCs w:val="20"/>
                <w:color w:val="auto"/>
              </w:rPr>
            </w:pPr>
            <w:r>
              <w:rPr>
                <w:rFonts w:ascii="Arial" w:cs="Arial" w:eastAsia="Arial" w:hAnsi="Arial"/>
                <w:sz w:val="18"/>
                <w:szCs w:val="18"/>
                <w:b w:val="1"/>
                <w:bCs w:val="1"/>
                <w:color w:val="auto"/>
              </w:rPr>
              <w:t>13,192</w:t>
            </w:r>
          </w:p>
        </w:tc>
        <w:tc>
          <w:tcPr>
            <w:tcW w:w="520" w:type="dxa"/>
            <w:vAlign w:val="bottom"/>
          </w:tcPr>
          <w:p>
            <w:pPr>
              <w:spacing w:after="0"/>
              <w:rPr>
                <w:sz w:val="16"/>
                <w:szCs w:val="16"/>
                <w:color w:val="auto"/>
              </w:rPr>
            </w:pPr>
          </w:p>
        </w:tc>
        <w:tc>
          <w:tcPr>
            <w:tcW w:w="8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9,549</w:t>
            </w:r>
          </w:p>
        </w:tc>
      </w:tr>
      <w:tr>
        <w:trPr>
          <w:trHeight w:val="189"/>
        </w:trPr>
        <w:tc>
          <w:tcPr>
            <w:tcW w:w="8600" w:type="dxa"/>
            <w:vAlign w:val="bottom"/>
          </w:tcPr>
          <w:p>
            <w:pPr>
              <w:ind w:left="120"/>
              <w:spacing w:after="0" w:line="189" w:lineRule="exact"/>
              <w:rPr>
                <w:sz w:val="20"/>
                <w:szCs w:val="20"/>
                <w:color w:val="auto"/>
              </w:rPr>
            </w:pPr>
            <w:r>
              <w:rPr>
                <w:rFonts w:ascii="Arial" w:cs="Arial" w:eastAsia="Arial" w:hAnsi="Arial"/>
                <w:sz w:val="18"/>
                <w:szCs w:val="18"/>
                <w:color w:val="auto"/>
              </w:rPr>
              <w:t>Gas distribution sales</w:t>
            </w:r>
          </w:p>
        </w:tc>
        <w:tc>
          <w:tcPr>
            <w:tcW w:w="1300" w:type="dxa"/>
            <w:vAlign w:val="bottom"/>
            <w:shd w:val="clear" w:color="auto" w:fill="DDDDDD"/>
          </w:tcPr>
          <w:p>
            <w:pPr>
              <w:jc w:val="right"/>
              <w:ind w:right="31"/>
              <w:spacing w:after="0" w:line="189" w:lineRule="exact"/>
              <w:rPr>
                <w:sz w:val="20"/>
                <w:szCs w:val="20"/>
                <w:color w:val="auto"/>
              </w:rPr>
            </w:pPr>
            <w:r>
              <w:rPr>
                <w:rFonts w:ascii="Arial" w:cs="Arial" w:eastAsia="Arial" w:hAnsi="Arial"/>
                <w:sz w:val="18"/>
                <w:szCs w:val="18"/>
                <w:b w:val="1"/>
                <w:bCs w:val="1"/>
                <w:color w:val="auto"/>
              </w:rPr>
              <w:t>4,139</w:t>
            </w:r>
          </w:p>
        </w:tc>
        <w:tc>
          <w:tcPr>
            <w:tcW w:w="520" w:type="dxa"/>
            <w:vAlign w:val="bottom"/>
          </w:tcPr>
          <w:p>
            <w:pPr>
              <w:spacing w:after="0"/>
              <w:rPr>
                <w:sz w:val="16"/>
                <w:szCs w:val="16"/>
                <w:color w:val="auto"/>
              </w:rPr>
            </w:pPr>
          </w:p>
        </w:tc>
        <w:tc>
          <w:tcPr>
            <w:tcW w:w="8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3,699</w:t>
            </w:r>
          </w:p>
        </w:tc>
      </w:tr>
      <w:tr>
        <w:trPr>
          <w:trHeight w:val="221"/>
        </w:trPr>
        <w:tc>
          <w:tcPr>
            <w:tcW w:w="86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Transportation and other services</w:t>
            </w:r>
          </w:p>
        </w:tc>
        <w:tc>
          <w:tcPr>
            <w:tcW w:w="1300" w:type="dxa"/>
            <w:vAlign w:val="bottom"/>
            <w:tcBorders>
              <w:bottom w:val="single" w:sz="8" w:color="auto"/>
            </w:tcBorders>
            <w:shd w:val="clear" w:color="auto" w:fill="DDDDDD"/>
          </w:tcPr>
          <w:p>
            <w:pPr>
              <w:jc w:val="right"/>
              <w:ind w:right="31"/>
              <w:spacing w:after="0"/>
              <w:rPr>
                <w:sz w:val="20"/>
                <w:szCs w:val="20"/>
                <w:color w:val="auto"/>
              </w:rPr>
            </w:pPr>
            <w:r>
              <w:rPr>
                <w:rFonts w:ascii="Arial" w:cs="Arial" w:eastAsia="Arial" w:hAnsi="Arial"/>
                <w:sz w:val="18"/>
                <w:szCs w:val="18"/>
                <w:b w:val="1"/>
                <w:bCs w:val="1"/>
                <w:color w:val="auto"/>
              </w:rPr>
              <w:t>5,026</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5,254</w:t>
            </w:r>
          </w:p>
        </w:tc>
      </w:tr>
      <w:tr>
        <w:trPr>
          <w:trHeight w:val="183"/>
        </w:trPr>
        <w:tc>
          <w:tcPr>
            <w:tcW w:w="8600" w:type="dxa"/>
            <w:vAlign w:val="bottom"/>
            <w:tcBorders>
              <w:bottom w:val="single" w:sz="8" w:color="auto"/>
            </w:tcBorders>
          </w:tcPr>
          <w:p>
            <w:pPr>
              <w:ind w:left="120"/>
              <w:spacing w:after="0" w:line="182" w:lineRule="exact"/>
              <w:rPr>
                <w:sz w:val="20"/>
                <w:szCs w:val="20"/>
                <w:color w:val="auto"/>
              </w:rPr>
            </w:pPr>
            <w:r>
              <w:rPr>
                <w:rFonts w:ascii="Arial" w:cs="Arial" w:eastAsia="Arial" w:hAnsi="Arial"/>
                <w:sz w:val="18"/>
                <w:szCs w:val="18"/>
                <w:color w:val="auto"/>
              </w:rPr>
              <w:t xml:space="preserve">Total operating revenues </w:t>
            </w:r>
            <w:r>
              <w:rPr>
                <w:rFonts w:ascii="Arial" w:cs="Arial" w:eastAsia="Arial" w:hAnsi="Arial"/>
                <w:sz w:val="14"/>
                <w:szCs w:val="14"/>
                <w:i w:val="1"/>
                <w:iCs w:val="1"/>
                <w:color w:val="auto"/>
              </w:rPr>
              <w:t>(Note 3)</w:t>
            </w:r>
          </w:p>
        </w:tc>
        <w:tc>
          <w:tcPr>
            <w:tcW w:w="1300" w:type="dxa"/>
            <w:vAlign w:val="bottom"/>
            <w:tcBorders>
              <w:bottom w:val="single" w:sz="8" w:color="auto"/>
            </w:tcBorders>
            <w:shd w:val="clear" w:color="auto" w:fill="DDDDDD"/>
          </w:tcPr>
          <w:p>
            <w:pPr>
              <w:jc w:val="right"/>
              <w:ind w:right="31"/>
              <w:spacing w:after="0" w:line="182" w:lineRule="exact"/>
              <w:rPr>
                <w:sz w:val="20"/>
                <w:szCs w:val="20"/>
                <w:color w:val="auto"/>
              </w:rPr>
            </w:pPr>
            <w:r>
              <w:rPr>
                <w:rFonts w:ascii="Arial" w:cs="Arial" w:eastAsia="Arial" w:hAnsi="Arial"/>
                <w:sz w:val="18"/>
                <w:szCs w:val="18"/>
                <w:b w:val="1"/>
                <w:bCs w:val="1"/>
                <w:color w:val="auto"/>
              </w:rPr>
              <w:t>22,357</w:t>
            </w: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18,502</w:t>
            </w:r>
          </w:p>
        </w:tc>
      </w:tr>
      <w:tr>
        <w:trPr>
          <w:trHeight w:val="150"/>
        </w:trPr>
        <w:tc>
          <w:tcPr>
            <w:tcW w:w="8600" w:type="dxa"/>
            <w:vAlign w:val="bottom"/>
          </w:tcPr>
          <w:p>
            <w:pPr>
              <w:spacing w:after="0" w:line="150" w:lineRule="exact"/>
              <w:rPr>
                <w:sz w:val="20"/>
                <w:szCs w:val="20"/>
                <w:color w:val="auto"/>
              </w:rPr>
            </w:pPr>
            <w:r>
              <w:rPr>
                <w:rFonts w:ascii="Arial" w:cs="Arial" w:eastAsia="Arial" w:hAnsi="Arial"/>
                <w:sz w:val="17"/>
                <w:szCs w:val="17"/>
                <w:color w:val="auto"/>
              </w:rPr>
              <w:t>Operating expenses</w:t>
            </w:r>
          </w:p>
        </w:tc>
        <w:tc>
          <w:tcPr>
            <w:tcW w:w="1300" w:type="dxa"/>
            <w:vAlign w:val="bottom"/>
            <w:shd w:val="clear" w:color="auto" w:fill="DDDDDD"/>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9"/>
        </w:trPr>
        <w:tc>
          <w:tcPr>
            <w:tcW w:w="8600" w:type="dxa"/>
            <w:vAlign w:val="bottom"/>
          </w:tcPr>
          <w:p>
            <w:pPr>
              <w:ind w:left="120"/>
              <w:spacing w:after="0" w:line="189" w:lineRule="exact"/>
              <w:rPr>
                <w:sz w:val="20"/>
                <w:szCs w:val="20"/>
                <w:color w:val="auto"/>
              </w:rPr>
            </w:pPr>
            <w:r>
              <w:rPr>
                <w:rFonts w:ascii="Arial" w:cs="Arial" w:eastAsia="Arial" w:hAnsi="Arial"/>
                <w:sz w:val="18"/>
                <w:szCs w:val="18"/>
                <w:color w:val="auto"/>
              </w:rPr>
              <w:t>Commodity costs</w:t>
            </w:r>
          </w:p>
        </w:tc>
        <w:tc>
          <w:tcPr>
            <w:tcW w:w="1300" w:type="dxa"/>
            <w:vAlign w:val="bottom"/>
            <w:shd w:val="clear" w:color="auto" w:fill="DDDDDD"/>
          </w:tcPr>
          <w:p>
            <w:pPr>
              <w:jc w:val="right"/>
              <w:ind w:right="31"/>
              <w:spacing w:after="0" w:line="189" w:lineRule="exact"/>
              <w:rPr>
                <w:sz w:val="20"/>
                <w:szCs w:val="20"/>
                <w:color w:val="auto"/>
              </w:rPr>
            </w:pPr>
            <w:r>
              <w:rPr>
                <w:rFonts w:ascii="Arial" w:cs="Arial" w:eastAsia="Arial" w:hAnsi="Arial"/>
                <w:sz w:val="18"/>
                <w:szCs w:val="18"/>
                <w:b w:val="1"/>
                <w:bCs w:val="1"/>
                <w:color w:val="auto"/>
              </w:rPr>
              <w:t>13,163</w:t>
            </w:r>
          </w:p>
        </w:tc>
        <w:tc>
          <w:tcPr>
            <w:tcW w:w="520" w:type="dxa"/>
            <w:vAlign w:val="bottom"/>
          </w:tcPr>
          <w:p>
            <w:pPr>
              <w:spacing w:after="0"/>
              <w:rPr>
                <w:sz w:val="16"/>
                <w:szCs w:val="16"/>
                <w:color w:val="auto"/>
              </w:rPr>
            </w:pPr>
          </w:p>
        </w:tc>
        <w:tc>
          <w:tcPr>
            <w:tcW w:w="8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9,335</w:t>
            </w:r>
          </w:p>
        </w:tc>
      </w:tr>
      <w:tr>
        <w:trPr>
          <w:trHeight w:val="189"/>
        </w:trPr>
        <w:tc>
          <w:tcPr>
            <w:tcW w:w="8600" w:type="dxa"/>
            <w:vAlign w:val="bottom"/>
          </w:tcPr>
          <w:p>
            <w:pPr>
              <w:ind w:left="120"/>
              <w:spacing w:after="0" w:line="189" w:lineRule="exact"/>
              <w:rPr>
                <w:sz w:val="20"/>
                <w:szCs w:val="20"/>
                <w:color w:val="auto"/>
              </w:rPr>
            </w:pPr>
            <w:r>
              <w:rPr>
                <w:rFonts w:ascii="Arial" w:cs="Arial" w:eastAsia="Arial" w:hAnsi="Arial"/>
                <w:sz w:val="18"/>
                <w:szCs w:val="18"/>
                <w:color w:val="auto"/>
              </w:rPr>
              <w:t>Gas distribution costs</w:t>
            </w:r>
          </w:p>
        </w:tc>
        <w:tc>
          <w:tcPr>
            <w:tcW w:w="1300" w:type="dxa"/>
            <w:vAlign w:val="bottom"/>
            <w:shd w:val="clear" w:color="auto" w:fill="DDDDDD"/>
          </w:tcPr>
          <w:p>
            <w:pPr>
              <w:jc w:val="right"/>
              <w:ind w:right="31"/>
              <w:spacing w:after="0" w:line="189" w:lineRule="exact"/>
              <w:rPr>
                <w:sz w:val="20"/>
                <w:szCs w:val="20"/>
                <w:color w:val="auto"/>
              </w:rPr>
            </w:pPr>
            <w:r>
              <w:rPr>
                <w:rFonts w:ascii="Arial" w:cs="Arial" w:eastAsia="Arial" w:hAnsi="Arial"/>
                <w:sz w:val="18"/>
                <w:szCs w:val="18"/>
                <w:b w:val="1"/>
                <w:bCs w:val="1"/>
                <w:color w:val="auto"/>
              </w:rPr>
              <w:t>1,968</w:t>
            </w:r>
          </w:p>
        </w:tc>
        <w:tc>
          <w:tcPr>
            <w:tcW w:w="520" w:type="dxa"/>
            <w:vAlign w:val="bottom"/>
          </w:tcPr>
          <w:p>
            <w:pPr>
              <w:spacing w:after="0"/>
              <w:rPr>
                <w:sz w:val="16"/>
                <w:szCs w:val="16"/>
                <w:color w:val="auto"/>
              </w:rPr>
            </w:pPr>
          </w:p>
        </w:tc>
        <w:tc>
          <w:tcPr>
            <w:tcW w:w="8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1,616</w:t>
            </w:r>
          </w:p>
        </w:tc>
      </w:tr>
      <w:tr>
        <w:trPr>
          <w:trHeight w:val="189"/>
        </w:trPr>
        <w:tc>
          <w:tcPr>
            <w:tcW w:w="8600" w:type="dxa"/>
            <w:vAlign w:val="bottom"/>
          </w:tcPr>
          <w:p>
            <w:pPr>
              <w:ind w:left="120"/>
              <w:spacing w:after="0" w:line="189" w:lineRule="exact"/>
              <w:rPr>
                <w:sz w:val="20"/>
                <w:szCs w:val="20"/>
                <w:color w:val="auto"/>
              </w:rPr>
            </w:pPr>
            <w:r>
              <w:rPr>
                <w:rFonts w:ascii="Arial" w:cs="Arial" w:eastAsia="Arial" w:hAnsi="Arial"/>
                <w:sz w:val="18"/>
                <w:szCs w:val="18"/>
                <w:color w:val="auto"/>
              </w:rPr>
              <w:t>Operating and administrative</w:t>
            </w:r>
          </w:p>
        </w:tc>
        <w:tc>
          <w:tcPr>
            <w:tcW w:w="1300" w:type="dxa"/>
            <w:vAlign w:val="bottom"/>
            <w:shd w:val="clear" w:color="auto" w:fill="DDDDDD"/>
          </w:tcPr>
          <w:p>
            <w:pPr>
              <w:jc w:val="right"/>
              <w:ind w:right="31"/>
              <w:spacing w:after="0" w:line="189" w:lineRule="exact"/>
              <w:rPr>
                <w:sz w:val="20"/>
                <w:szCs w:val="20"/>
                <w:color w:val="auto"/>
              </w:rPr>
            </w:pPr>
            <w:r>
              <w:rPr>
                <w:rFonts w:ascii="Arial" w:cs="Arial" w:eastAsia="Arial" w:hAnsi="Arial"/>
                <w:sz w:val="18"/>
                <w:szCs w:val="18"/>
                <w:b w:val="1"/>
                <w:bCs w:val="1"/>
                <w:color w:val="auto"/>
              </w:rPr>
              <w:t>2,568</w:t>
            </w:r>
          </w:p>
        </w:tc>
        <w:tc>
          <w:tcPr>
            <w:tcW w:w="520" w:type="dxa"/>
            <w:vAlign w:val="bottom"/>
          </w:tcPr>
          <w:p>
            <w:pPr>
              <w:spacing w:after="0"/>
              <w:rPr>
                <w:sz w:val="16"/>
                <w:szCs w:val="16"/>
                <w:color w:val="auto"/>
              </w:rPr>
            </w:pPr>
          </w:p>
        </w:tc>
        <w:tc>
          <w:tcPr>
            <w:tcW w:w="8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2,471</w:t>
            </w:r>
          </w:p>
        </w:tc>
      </w:tr>
      <w:tr>
        <w:trPr>
          <w:trHeight w:val="221"/>
        </w:trPr>
        <w:tc>
          <w:tcPr>
            <w:tcW w:w="86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1300" w:type="dxa"/>
            <w:vAlign w:val="bottom"/>
            <w:tcBorders>
              <w:bottom w:val="single" w:sz="8" w:color="auto"/>
            </w:tcBorders>
            <w:shd w:val="clear" w:color="auto" w:fill="DDDDDD"/>
          </w:tcPr>
          <w:p>
            <w:pPr>
              <w:jc w:val="right"/>
              <w:ind w:right="31"/>
              <w:spacing w:after="0"/>
              <w:rPr>
                <w:sz w:val="20"/>
                <w:szCs w:val="20"/>
                <w:color w:val="auto"/>
              </w:rPr>
            </w:pPr>
            <w:r>
              <w:rPr>
                <w:rFonts w:ascii="Arial" w:cs="Arial" w:eastAsia="Arial" w:hAnsi="Arial"/>
                <w:sz w:val="18"/>
                <w:szCs w:val="18"/>
                <w:b w:val="1"/>
                <w:bCs w:val="1"/>
                <w:color w:val="auto"/>
              </w:rPr>
              <w:t>1,433</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1,408</w:t>
            </w:r>
          </w:p>
        </w:tc>
      </w:tr>
      <w:tr>
        <w:trPr>
          <w:trHeight w:val="183"/>
        </w:trPr>
        <w:tc>
          <w:tcPr>
            <w:tcW w:w="8600" w:type="dxa"/>
            <w:vAlign w:val="bottom"/>
            <w:tcBorders>
              <w:bottom w:val="single" w:sz="8" w:color="auto"/>
            </w:tcBorders>
          </w:tcPr>
          <w:p>
            <w:pPr>
              <w:ind w:left="120"/>
              <w:spacing w:after="0" w:line="182" w:lineRule="exact"/>
              <w:rPr>
                <w:sz w:val="20"/>
                <w:szCs w:val="20"/>
                <w:color w:val="auto"/>
              </w:rPr>
            </w:pPr>
            <w:r>
              <w:rPr>
                <w:rFonts w:ascii="Arial" w:cs="Arial" w:eastAsia="Arial" w:hAnsi="Arial"/>
                <w:sz w:val="18"/>
                <w:szCs w:val="18"/>
                <w:color w:val="auto"/>
              </w:rPr>
              <w:t>Total operating expenses</w:t>
            </w:r>
          </w:p>
        </w:tc>
        <w:tc>
          <w:tcPr>
            <w:tcW w:w="1300" w:type="dxa"/>
            <w:vAlign w:val="bottom"/>
            <w:tcBorders>
              <w:bottom w:val="single" w:sz="8" w:color="auto"/>
            </w:tcBorders>
            <w:shd w:val="clear" w:color="auto" w:fill="DDDDDD"/>
          </w:tcPr>
          <w:p>
            <w:pPr>
              <w:jc w:val="right"/>
              <w:ind w:right="31"/>
              <w:spacing w:after="0" w:line="182" w:lineRule="exact"/>
              <w:rPr>
                <w:sz w:val="20"/>
                <w:szCs w:val="20"/>
                <w:color w:val="auto"/>
              </w:rPr>
            </w:pPr>
            <w:r>
              <w:rPr>
                <w:rFonts w:ascii="Arial" w:cs="Arial" w:eastAsia="Arial" w:hAnsi="Arial"/>
                <w:sz w:val="18"/>
                <w:szCs w:val="18"/>
                <w:b w:val="1"/>
                <w:bCs w:val="1"/>
                <w:color w:val="auto"/>
              </w:rPr>
              <w:t>19,132</w:t>
            </w: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14,830</w:t>
            </w:r>
          </w:p>
        </w:tc>
      </w:tr>
      <w:tr>
        <w:trPr>
          <w:trHeight w:val="150"/>
        </w:trPr>
        <w:tc>
          <w:tcPr>
            <w:tcW w:w="8600" w:type="dxa"/>
            <w:vAlign w:val="bottom"/>
          </w:tcPr>
          <w:p>
            <w:pPr>
              <w:spacing w:after="0" w:line="150" w:lineRule="exact"/>
              <w:rPr>
                <w:sz w:val="20"/>
                <w:szCs w:val="20"/>
                <w:color w:val="auto"/>
              </w:rPr>
            </w:pPr>
            <w:r>
              <w:rPr>
                <w:rFonts w:ascii="Arial" w:cs="Arial" w:eastAsia="Arial" w:hAnsi="Arial"/>
                <w:sz w:val="17"/>
                <w:szCs w:val="17"/>
                <w:color w:val="auto"/>
              </w:rPr>
              <w:t>Operating income</w:t>
            </w:r>
          </w:p>
        </w:tc>
        <w:tc>
          <w:tcPr>
            <w:tcW w:w="1300" w:type="dxa"/>
            <w:vAlign w:val="bottom"/>
            <w:shd w:val="clear" w:color="auto" w:fill="DDDDDD"/>
          </w:tcPr>
          <w:p>
            <w:pPr>
              <w:jc w:val="right"/>
              <w:ind w:right="31"/>
              <w:spacing w:after="0" w:line="150" w:lineRule="exact"/>
              <w:rPr>
                <w:sz w:val="20"/>
                <w:szCs w:val="20"/>
                <w:color w:val="auto"/>
              </w:rPr>
            </w:pPr>
            <w:r>
              <w:rPr>
                <w:rFonts w:ascii="Arial" w:cs="Arial" w:eastAsia="Arial" w:hAnsi="Arial"/>
                <w:sz w:val="17"/>
                <w:szCs w:val="17"/>
                <w:b w:val="1"/>
                <w:bCs w:val="1"/>
                <w:color w:val="auto"/>
              </w:rPr>
              <w:t>3,225</w:t>
            </w:r>
          </w:p>
        </w:tc>
        <w:tc>
          <w:tcPr>
            <w:tcW w:w="520" w:type="dxa"/>
            <w:vAlign w:val="bottom"/>
          </w:tcPr>
          <w:p>
            <w:pPr>
              <w:spacing w:after="0"/>
              <w:rPr>
                <w:sz w:val="13"/>
                <w:szCs w:val="13"/>
                <w:color w:val="auto"/>
              </w:rPr>
            </w:pPr>
          </w:p>
        </w:tc>
        <w:tc>
          <w:tcPr>
            <w:tcW w:w="820" w:type="dxa"/>
            <w:vAlign w:val="bottom"/>
          </w:tcPr>
          <w:p>
            <w:pPr>
              <w:jc w:val="right"/>
              <w:ind w:right="31"/>
              <w:spacing w:after="0" w:line="150" w:lineRule="exact"/>
              <w:rPr>
                <w:sz w:val="20"/>
                <w:szCs w:val="20"/>
                <w:color w:val="auto"/>
              </w:rPr>
            </w:pPr>
            <w:r>
              <w:rPr>
                <w:rFonts w:ascii="Arial" w:cs="Arial" w:eastAsia="Arial" w:hAnsi="Arial"/>
                <w:sz w:val="17"/>
                <w:szCs w:val="17"/>
                <w:color w:val="auto"/>
              </w:rPr>
              <w:t>3,672</w:t>
            </w:r>
          </w:p>
        </w:tc>
      </w:tr>
      <w:tr>
        <w:trPr>
          <w:trHeight w:val="189"/>
        </w:trPr>
        <w:tc>
          <w:tcPr>
            <w:tcW w:w="8600" w:type="dxa"/>
            <w:vAlign w:val="bottom"/>
          </w:tcPr>
          <w:p>
            <w:pPr>
              <w:spacing w:after="0" w:line="189" w:lineRule="exact"/>
              <w:rPr>
                <w:sz w:val="20"/>
                <w:szCs w:val="20"/>
                <w:color w:val="auto"/>
              </w:rPr>
            </w:pPr>
            <w:r>
              <w:rPr>
                <w:rFonts w:ascii="Arial" w:cs="Arial" w:eastAsia="Arial" w:hAnsi="Arial"/>
                <w:sz w:val="18"/>
                <w:szCs w:val="18"/>
                <w:color w:val="auto"/>
              </w:rPr>
              <w:t>Income from equity investments</w:t>
            </w:r>
          </w:p>
        </w:tc>
        <w:tc>
          <w:tcPr>
            <w:tcW w:w="1300" w:type="dxa"/>
            <w:vAlign w:val="bottom"/>
            <w:shd w:val="clear" w:color="auto" w:fill="DDDDDD"/>
          </w:tcPr>
          <w:p>
            <w:pPr>
              <w:jc w:val="right"/>
              <w:ind w:right="31"/>
              <w:spacing w:after="0" w:line="189" w:lineRule="exact"/>
              <w:rPr>
                <w:sz w:val="20"/>
                <w:szCs w:val="20"/>
                <w:color w:val="auto"/>
              </w:rPr>
            </w:pPr>
            <w:r>
              <w:rPr>
                <w:rFonts w:ascii="Arial" w:cs="Arial" w:eastAsia="Arial" w:hAnsi="Arial"/>
                <w:sz w:val="18"/>
                <w:szCs w:val="18"/>
                <w:b w:val="1"/>
                <w:bCs w:val="1"/>
                <w:color w:val="auto"/>
              </w:rPr>
              <w:t>541</w:t>
            </w:r>
          </w:p>
        </w:tc>
        <w:tc>
          <w:tcPr>
            <w:tcW w:w="520" w:type="dxa"/>
            <w:vAlign w:val="bottom"/>
          </w:tcPr>
          <w:p>
            <w:pPr>
              <w:spacing w:after="0"/>
              <w:rPr>
                <w:sz w:val="16"/>
                <w:szCs w:val="16"/>
                <w:color w:val="auto"/>
              </w:rPr>
            </w:pPr>
          </w:p>
        </w:tc>
        <w:tc>
          <w:tcPr>
            <w:tcW w:w="8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729</w:t>
            </w:r>
          </w:p>
        </w:tc>
      </w:tr>
      <w:tr>
        <w:trPr>
          <w:trHeight w:val="189"/>
        </w:trPr>
        <w:tc>
          <w:tcPr>
            <w:tcW w:w="8600" w:type="dxa"/>
            <w:vAlign w:val="bottom"/>
          </w:tcPr>
          <w:p>
            <w:pPr>
              <w:spacing w:after="0" w:line="189" w:lineRule="exact"/>
              <w:rPr>
                <w:sz w:val="20"/>
                <w:szCs w:val="20"/>
                <w:color w:val="auto"/>
              </w:rPr>
            </w:pPr>
            <w:r>
              <w:rPr>
                <w:rFonts w:ascii="Arial" w:cs="Arial" w:eastAsia="Arial" w:hAnsi="Arial"/>
                <w:sz w:val="18"/>
                <w:szCs w:val="18"/>
                <w:color w:val="auto"/>
              </w:rPr>
              <w:t xml:space="preserve">Other income/(expense) </w:t>
            </w:r>
            <w:r>
              <w:rPr>
                <w:rFonts w:ascii="Arial" w:cs="Arial" w:eastAsia="Arial" w:hAnsi="Arial"/>
                <w:sz w:val="14"/>
                <w:szCs w:val="14"/>
                <w:i w:val="1"/>
                <w:iCs w:val="1"/>
                <w:color w:val="auto"/>
              </w:rPr>
              <w:t>(Note 10)</w:t>
            </w:r>
          </w:p>
        </w:tc>
        <w:tc>
          <w:tcPr>
            <w:tcW w:w="1300" w:type="dxa"/>
            <w:vAlign w:val="bottom"/>
            <w:shd w:val="clear" w:color="auto" w:fill="DDDDDD"/>
          </w:tcPr>
          <w:p>
            <w:pPr>
              <w:jc w:val="right"/>
              <w:ind w:right="11"/>
              <w:spacing w:after="0" w:line="189" w:lineRule="exact"/>
              <w:rPr>
                <w:sz w:val="20"/>
                <w:szCs w:val="20"/>
                <w:color w:val="auto"/>
              </w:rPr>
            </w:pPr>
            <w:r>
              <w:rPr>
                <w:rFonts w:ascii="Arial" w:cs="Arial" w:eastAsia="Arial" w:hAnsi="Arial"/>
                <w:sz w:val="18"/>
                <w:szCs w:val="18"/>
                <w:b w:val="1"/>
                <w:bCs w:val="1"/>
                <w:color w:val="auto"/>
              </w:rPr>
              <w:t>(179)</w:t>
            </w:r>
          </w:p>
        </w:tc>
        <w:tc>
          <w:tcPr>
            <w:tcW w:w="520" w:type="dxa"/>
            <w:vAlign w:val="bottom"/>
          </w:tcPr>
          <w:p>
            <w:pPr>
              <w:spacing w:after="0"/>
              <w:rPr>
                <w:sz w:val="16"/>
                <w:szCs w:val="16"/>
                <w:color w:val="auto"/>
              </w:rPr>
            </w:pPr>
          </w:p>
        </w:tc>
        <w:tc>
          <w:tcPr>
            <w:tcW w:w="8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120</w:t>
            </w:r>
          </w:p>
        </w:tc>
      </w:tr>
      <w:tr>
        <w:trPr>
          <w:trHeight w:val="221"/>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300" w:type="dxa"/>
            <w:vAlign w:val="bottom"/>
            <w:tcBorders>
              <w:bottom w:val="single" w:sz="8" w:color="auto"/>
            </w:tcBorders>
            <w:shd w:val="clear" w:color="auto" w:fill="DDDDDD"/>
          </w:tcPr>
          <w:p>
            <w:pPr>
              <w:jc w:val="right"/>
              <w:ind w:right="11"/>
              <w:spacing w:after="0"/>
              <w:rPr>
                <w:sz w:val="20"/>
                <w:szCs w:val="20"/>
                <w:color w:val="auto"/>
              </w:rPr>
            </w:pPr>
            <w:r>
              <w:rPr>
                <w:rFonts w:ascii="Arial" w:cs="Arial" w:eastAsia="Arial" w:hAnsi="Arial"/>
                <w:sz w:val="18"/>
                <w:szCs w:val="18"/>
                <w:b w:val="1"/>
                <w:bCs w:val="1"/>
                <w:color w:val="auto"/>
              </w:rPr>
              <w:t>(1,222)</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r>
      <w:tr>
        <w:trPr>
          <w:trHeight w:val="150"/>
        </w:trPr>
        <w:tc>
          <w:tcPr>
            <w:tcW w:w="8600" w:type="dxa"/>
            <w:vAlign w:val="bottom"/>
          </w:tcPr>
          <w:p>
            <w:pPr>
              <w:spacing w:after="0" w:line="150" w:lineRule="exact"/>
              <w:rPr>
                <w:sz w:val="20"/>
                <w:szCs w:val="20"/>
                <w:color w:val="auto"/>
              </w:rPr>
            </w:pPr>
            <w:r>
              <w:rPr>
                <w:rFonts w:ascii="Arial" w:cs="Arial" w:eastAsia="Arial" w:hAnsi="Arial"/>
                <w:sz w:val="17"/>
                <w:szCs w:val="17"/>
                <w:color w:val="auto"/>
              </w:rPr>
              <w:t>Earnings before income taxes</w:t>
            </w:r>
          </w:p>
        </w:tc>
        <w:tc>
          <w:tcPr>
            <w:tcW w:w="1300" w:type="dxa"/>
            <w:vAlign w:val="bottom"/>
            <w:shd w:val="clear" w:color="auto" w:fill="DDDDDD"/>
          </w:tcPr>
          <w:p>
            <w:pPr>
              <w:jc w:val="right"/>
              <w:ind w:right="31"/>
              <w:spacing w:after="0" w:line="150" w:lineRule="exact"/>
              <w:rPr>
                <w:sz w:val="20"/>
                <w:szCs w:val="20"/>
                <w:color w:val="auto"/>
              </w:rPr>
            </w:pPr>
            <w:r>
              <w:rPr>
                <w:rFonts w:ascii="Arial" w:cs="Arial" w:eastAsia="Arial" w:hAnsi="Arial"/>
                <w:sz w:val="17"/>
                <w:szCs w:val="17"/>
                <w:b w:val="1"/>
                <w:bCs w:val="1"/>
                <w:color w:val="auto"/>
              </w:rPr>
              <w:t>2,365</w:t>
            </w:r>
          </w:p>
        </w:tc>
        <w:tc>
          <w:tcPr>
            <w:tcW w:w="520" w:type="dxa"/>
            <w:vAlign w:val="bottom"/>
          </w:tcPr>
          <w:p>
            <w:pPr>
              <w:spacing w:after="0"/>
              <w:rPr>
                <w:sz w:val="13"/>
                <w:szCs w:val="13"/>
                <w:color w:val="auto"/>
              </w:rPr>
            </w:pPr>
          </w:p>
        </w:tc>
        <w:tc>
          <w:tcPr>
            <w:tcW w:w="820" w:type="dxa"/>
            <w:vAlign w:val="bottom"/>
          </w:tcPr>
          <w:p>
            <w:pPr>
              <w:jc w:val="right"/>
              <w:ind w:right="31"/>
              <w:spacing w:after="0" w:line="150" w:lineRule="exact"/>
              <w:rPr>
                <w:sz w:val="20"/>
                <w:szCs w:val="20"/>
                <w:color w:val="auto"/>
              </w:rPr>
            </w:pPr>
            <w:r>
              <w:rPr>
                <w:rFonts w:ascii="Arial" w:cs="Arial" w:eastAsia="Arial" w:hAnsi="Arial"/>
                <w:sz w:val="17"/>
                <w:szCs w:val="17"/>
                <w:color w:val="auto"/>
              </w:rPr>
              <w:t>3,187</w:t>
            </w:r>
          </w:p>
        </w:tc>
      </w:tr>
      <w:tr>
        <w:trPr>
          <w:trHeight w:val="221"/>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(587)</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r>
      <w:tr>
        <w:trPr>
          <w:trHeight w:val="150"/>
        </w:trPr>
        <w:tc>
          <w:tcPr>
            <w:tcW w:w="8600" w:type="dxa"/>
            <w:vAlign w:val="bottom"/>
          </w:tcPr>
          <w:p>
            <w:pPr>
              <w:spacing w:after="0" w:line="150" w:lineRule="exact"/>
              <w:rPr>
                <w:sz w:val="20"/>
                <w:szCs w:val="20"/>
                <w:color w:val="auto"/>
              </w:rPr>
            </w:pPr>
            <w:r>
              <w:rPr>
                <w:rFonts w:ascii="Arial" w:cs="Arial" w:eastAsia="Arial" w:hAnsi="Arial"/>
                <w:sz w:val="17"/>
                <w:szCs w:val="17"/>
                <w:color w:val="auto"/>
              </w:rPr>
              <w:t>Earnings</w:t>
            </w:r>
          </w:p>
        </w:tc>
        <w:tc>
          <w:tcPr>
            <w:tcW w:w="1300" w:type="dxa"/>
            <w:vAlign w:val="bottom"/>
            <w:shd w:val="clear" w:color="auto" w:fill="DDDDDD"/>
          </w:tcPr>
          <w:p>
            <w:pPr>
              <w:jc w:val="right"/>
              <w:ind w:right="31"/>
              <w:spacing w:after="0" w:line="150" w:lineRule="exact"/>
              <w:rPr>
                <w:sz w:val="20"/>
                <w:szCs w:val="20"/>
                <w:color w:val="auto"/>
              </w:rPr>
            </w:pPr>
            <w:r>
              <w:rPr>
                <w:rFonts w:ascii="Arial" w:cs="Arial" w:eastAsia="Arial" w:hAnsi="Arial"/>
                <w:sz w:val="17"/>
                <w:szCs w:val="17"/>
                <w:b w:val="1"/>
                <w:bCs w:val="1"/>
                <w:color w:val="auto"/>
              </w:rPr>
              <w:t>1,778</w:t>
            </w:r>
          </w:p>
        </w:tc>
        <w:tc>
          <w:tcPr>
            <w:tcW w:w="520" w:type="dxa"/>
            <w:vAlign w:val="bottom"/>
          </w:tcPr>
          <w:p>
            <w:pPr>
              <w:spacing w:after="0"/>
              <w:rPr>
                <w:sz w:val="13"/>
                <w:szCs w:val="13"/>
                <w:color w:val="auto"/>
              </w:rPr>
            </w:pPr>
          </w:p>
        </w:tc>
        <w:tc>
          <w:tcPr>
            <w:tcW w:w="820" w:type="dxa"/>
            <w:vAlign w:val="bottom"/>
          </w:tcPr>
          <w:p>
            <w:pPr>
              <w:jc w:val="right"/>
              <w:ind w:right="31"/>
              <w:spacing w:after="0" w:line="150" w:lineRule="exact"/>
              <w:rPr>
                <w:sz w:val="20"/>
                <w:szCs w:val="20"/>
                <w:color w:val="auto"/>
              </w:rPr>
            </w:pPr>
            <w:r>
              <w:rPr>
                <w:rFonts w:ascii="Arial" w:cs="Arial" w:eastAsia="Arial" w:hAnsi="Arial"/>
                <w:sz w:val="17"/>
                <w:szCs w:val="17"/>
                <w:color w:val="auto"/>
              </w:rPr>
              <w:t>2,490</w:t>
            </w:r>
          </w:p>
        </w:tc>
      </w:tr>
      <w:tr>
        <w:trPr>
          <w:trHeight w:val="221"/>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attributable to noncontrolling interests and redeemable noncontrolling interest</w:t>
            </w:r>
          </w:p>
        </w:tc>
        <w:tc>
          <w:tcPr>
            <w:tcW w:w="1300" w:type="dxa"/>
            <w:vAlign w:val="bottom"/>
            <w:tcBorders>
              <w:bottom w:val="single" w:sz="8" w:color="auto"/>
            </w:tcBorders>
            <w:shd w:val="clear" w:color="auto" w:fill="DDDDDD"/>
          </w:tcPr>
          <w:p>
            <w:pPr>
              <w:jc w:val="right"/>
              <w:ind w:right="31"/>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150"/>
        </w:trPr>
        <w:tc>
          <w:tcPr>
            <w:tcW w:w="8600" w:type="dxa"/>
            <w:vAlign w:val="bottom"/>
          </w:tcPr>
          <w:p>
            <w:pPr>
              <w:spacing w:after="0" w:line="150" w:lineRule="exact"/>
              <w:rPr>
                <w:sz w:val="20"/>
                <w:szCs w:val="20"/>
                <w:color w:val="auto"/>
              </w:rPr>
            </w:pPr>
            <w:r>
              <w:rPr>
                <w:rFonts w:ascii="Arial" w:cs="Arial" w:eastAsia="Arial" w:hAnsi="Arial"/>
                <w:sz w:val="17"/>
                <w:szCs w:val="17"/>
                <w:color w:val="auto"/>
              </w:rPr>
              <w:t>Earnings attributable to controlling interests</w:t>
            </w:r>
          </w:p>
        </w:tc>
        <w:tc>
          <w:tcPr>
            <w:tcW w:w="1300" w:type="dxa"/>
            <w:vAlign w:val="bottom"/>
            <w:shd w:val="clear" w:color="auto" w:fill="DDDDDD"/>
          </w:tcPr>
          <w:p>
            <w:pPr>
              <w:jc w:val="right"/>
              <w:ind w:right="31"/>
              <w:spacing w:after="0" w:line="150" w:lineRule="exact"/>
              <w:rPr>
                <w:sz w:val="20"/>
                <w:szCs w:val="20"/>
                <w:color w:val="auto"/>
              </w:rPr>
            </w:pPr>
            <w:r>
              <w:rPr>
                <w:rFonts w:ascii="Arial" w:cs="Arial" w:eastAsia="Arial" w:hAnsi="Arial"/>
                <w:sz w:val="17"/>
                <w:szCs w:val="17"/>
                <w:b w:val="1"/>
                <w:bCs w:val="1"/>
                <w:color w:val="auto"/>
              </w:rPr>
              <w:t>1,778</w:t>
            </w:r>
          </w:p>
        </w:tc>
        <w:tc>
          <w:tcPr>
            <w:tcW w:w="520" w:type="dxa"/>
            <w:vAlign w:val="bottom"/>
          </w:tcPr>
          <w:p>
            <w:pPr>
              <w:spacing w:after="0"/>
              <w:rPr>
                <w:sz w:val="13"/>
                <w:szCs w:val="13"/>
                <w:color w:val="auto"/>
              </w:rPr>
            </w:pPr>
          </w:p>
        </w:tc>
        <w:tc>
          <w:tcPr>
            <w:tcW w:w="820" w:type="dxa"/>
            <w:vAlign w:val="bottom"/>
          </w:tcPr>
          <w:p>
            <w:pPr>
              <w:jc w:val="right"/>
              <w:ind w:right="31"/>
              <w:spacing w:after="0" w:line="150" w:lineRule="exact"/>
              <w:rPr>
                <w:sz w:val="20"/>
                <w:szCs w:val="20"/>
                <w:color w:val="auto"/>
              </w:rPr>
            </w:pPr>
            <w:r>
              <w:rPr>
                <w:rFonts w:ascii="Arial" w:cs="Arial" w:eastAsia="Arial" w:hAnsi="Arial"/>
                <w:sz w:val="17"/>
                <w:szCs w:val="17"/>
                <w:color w:val="auto"/>
              </w:rPr>
              <w:t>2,364</w:t>
            </w:r>
          </w:p>
        </w:tc>
      </w:tr>
      <w:tr>
        <w:trPr>
          <w:trHeight w:val="221"/>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Preference share dividends</w:t>
            </w: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(107)</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03"/>
        </w:trPr>
        <w:tc>
          <w:tcPr>
            <w:tcW w:w="86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Earnings attributable to common shareholders</w:t>
            </w:r>
          </w:p>
        </w:tc>
        <w:tc>
          <w:tcPr>
            <w:tcW w:w="1300" w:type="dxa"/>
            <w:vAlign w:val="bottom"/>
            <w:tcBorders>
              <w:bottom w:val="single" w:sz="8" w:color="auto"/>
            </w:tcBorders>
            <w:shd w:val="clear" w:color="auto" w:fill="DDDDDD"/>
          </w:tcPr>
          <w:p>
            <w:pPr>
              <w:jc w:val="right"/>
              <w:ind w:right="31"/>
              <w:spacing w:after="0" w:line="182" w:lineRule="exact"/>
              <w:rPr>
                <w:sz w:val="20"/>
                <w:szCs w:val="20"/>
                <w:color w:val="auto"/>
              </w:rPr>
            </w:pPr>
            <w:r>
              <w:rPr>
                <w:rFonts w:ascii="Arial" w:cs="Arial" w:eastAsia="Arial" w:hAnsi="Arial"/>
                <w:sz w:val="18"/>
                <w:szCs w:val="18"/>
                <w:b w:val="1"/>
                <w:bCs w:val="1"/>
                <w:color w:val="auto"/>
              </w:rPr>
              <w:t>1,671</w:t>
            </w: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2,261</w:t>
            </w:r>
          </w:p>
        </w:tc>
      </w:tr>
      <w:tr>
        <w:trPr>
          <w:trHeight w:val="210"/>
        </w:trPr>
        <w:tc>
          <w:tcPr>
            <w:tcW w:w="860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 xml:space="preserve">Earnings per common share attributable to common shareholders </w:t>
            </w:r>
            <w:r>
              <w:rPr>
                <w:rFonts w:ascii="Arial" w:cs="Arial" w:eastAsia="Arial" w:hAnsi="Arial"/>
                <w:sz w:val="13"/>
                <w:szCs w:val="13"/>
                <w:i w:val="1"/>
                <w:iCs w:val="1"/>
                <w:color w:val="auto"/>
              </w:rPr>
              <w:t>(Note 5)</w:t>
            </w:r>
          </w:p>
        </w:tc>
        <w:tc>
          <w:tcPr>
            <w:tcW w:w="1300" w:type="dxa"/>
            <w:vAlign w:val="bottom"/>
            <w:tcBorders>
              <w:bottom w:val="single" w:sz="8" w:color="auto"/>
            </w:tcBorders>
            <w:shd w:val="clear" w:color="auto" w:fill="D9D9D9"/>
          </w:tcPr>
          <w:p>
            <w:pPr>
              <w:jc w:val="right"/>
              <w:ind w:right="31"/>
              <w:spacing w:after="0" w:line="189" w:lineRule="exact"/>
              <w:rPr>
                <w:sz w:val="20"/>
                <w:szCs w:val="20"/>
                <w:color w:val="auto"/>
              </w:rPr>
            </w:pPr>
            <w:r>
              <w:rPr>
                <w:rFonts w:ascii="Arial" w:cs="Arial" w:eastAsia="Arial" w:hAnsi="Arial"/>
                <w:sz w:val="18"/>
                <w:szCs w:val="18"/>
                <w:b w:val="1"/>
                <w:bCs w:val="1"/>
                <w:color w:val="auto"/>
              </w:rPr>
              <w:t>0.77</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
              <w:spacing w:after="0" w:line="189" w:lineRule="exact"/>
              <w:rPr>
                <w:sz w:val="20"/>
                <w:szCs w:val="20"/>
                <w:color w:val="auto"/>
              </w:rPr>
            </w:pPr>
            <w:r>
              <w:rPr>
                <w:rFonts w:ascii="Arial" w:cs="Arial" w:eastAsia="Arial" w:hAnsi="Arial"/>
                <w:sz w:val="18"/>
                <w:szCs w:val="18"/>
                <w:color w:val="auto"/>
              </w:rPr>
              <w:t>1.04</w:t>
            </w:r>
          </w:p>
        </w:tc>
      </w:tr>
      <w:tr>
        <w:trPr>
          <w:trHeight w:val="210"/>
        </w:trPr>
        <w:tc>
          <w:tcPr>
            <w:tcW w:w="860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 xml:space="preserve">Diluted earnings per common share attributable to common shareholders </w:t>
            </w:r>
            <w:r>
              <w:rPr>
                <w:rFonts w:ascii="Arial" w:cs="Arial" w:eastAsia="Arial" w:hAnsi="Arial"/>
                <w:sz w:val="13"/>
                <w:szCs w:val="13"/>
                <w:i w:val="1"/>
                <w:iCs w:val="1"/>
                <w:color w:val="auto"/>
              </w:rPr>
              <w:t>(Note 5)</w:t>
            </w:r>
          </w:p>
        </w:tc>
        <w:tc>
          <w:tcPr>
            <w:tcW w:w="1300" w:type="dxa"/>
            <w:vAlign w:val="bottom"/>
            <w:tcBorders>
              <w:bottom w:val="single" w:sz="8" w:color="auto"/>
            </w:tcBorders>
            <w:shd w:val="clear" w:color="auto" w:fill="D9D9D9"/>
          </w:tcPr>
          <w:p>
            <w:pPr>
              <w:jc w:val="right"/>
              <w:ind w:right="31"/>
              <w:spacing w:after="0" w:line="189" w:lineRule="exact"/>
              <w:rPr>
                <w:sz w:val="20"/>
                <w:szCs w:val="20"/>
                <w:color w:val="auto"/>
              </w:rPr>
            </w:pPr>
            <w:r>
              <w:rPr>
                <w:rFonts w:ascii="Arial" w:cs="Arial" w:eastAsia="Arial" w:hAnsi="Arial"/>
                <w:sz w:val="18"/>
                <w:szCs w:val="18"/>
                <w:b w:val="1"/>
                <w:bCs w:val="1"/>
                <w:color w:val="auto"/>
              </w:rPr>
              <w:t>0.76</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
              <w:spacing w:after="0" w:line="189" w:lineRule="exact"/>
              <w:rPr>
                <w:sz w:val="20"/>
                <w:szCs w:val="20"/>
                <w:color w:val="auto"/>
              </w:rPr>
            </w:pPr>
            <w:r>
              <w:rPr>
                <w:rFonts w:ascii="Arial" w:cs="Arial" w:eastAsia="Arial" w:hAnsi="Arial"/>
                <w:sz w:val="18"/>
                <w:szCs w:val="18"/>
                <w:color w:val="auto"/>
              </w:rPr>
              <w:t>1.03</w:t>
            </w:r>
          </w:p>
        </w:tc>
      </w:tr>
    </w:tbl>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interim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7"/>
          <w:szCs w:val="27"/>
          <w:b w:val="1"/>
          <w:bCs w:val="1"/>
          <w:color w:val="auto"/>
        </w:rPr>
        <w:t>ENBRIDGE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CONSOLIDATED STATEMENTS OF COMPREHENSIVE INCOME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3"/>
          </w:tcPr>
          <w:p>
            <w:pPr>
              <w:jc w:val="center"/>
              <w:ind w:left="291"/>
              <w:spacing w:after="0"/>
              <w:rPr>
                <w:sz w:val="20"/>
                <w:szCs w:val="20"/>
                <w:color w:val="auto"/>
              </w:rPr>
            </w:pPr>
            <w:r>
              <w:rPr>
                <w:rFonts w:ascii="Arial" w:cs="Arial" w:eastAsia="Arial" w:hAnsi="Arial"/>
                <w:sz w:val="18"/>
                <w:szCs w:val="18"/>
                <w:color w:val="auto"/>
                <w:w w:val="99"/>
              </w:rPr>
              <w:t>Three months ended</w:t>
            </w:r>
          </w:p>
        </w:tc>
        <w:tc>
          <w:tcPr>
            <w:tcW w:w="640" w:type="dxa"/>
            <w:vAlign w:val="bottom"/>
          </w:tcPr>
          <w:p>
            <w:pPr>
              <w:spacing w:after="0"/>
              <w:rPr>
                <w:sz w:val="17"/>
                <w:szCs w:val="17"/>
                <w:color w:val="auto"/>
              </w:rPr>
            </w:pPr>
          </w:p>
        </w:tc>
      </w:tr>
      <w:tr>
        <w:trPr>
          <w:trHeight w:val="221"/>
        </w:trPr>
        <w:tc>
          <w:tcPr>
            <w:tcW w:w="8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center"/>
              <w:ind w:left="311"/>
              <w:spacing w:after="0"/>
              <w:rPr>
                <w:sz w:val="20"/>
                <w:szCs w:val="20"/>
                <w:color w:val="auto"/>
              </w:rPr>
            </w:pPr>
            <w:r>
              <w:rPr>
                <w:rFonts w:ascii="Arial" w:cs="Arial" w:eastAsia="Arial" w:hAnsi="Arial"/>
                <w:sz w:val="18"/>
                <w:szCs w:val="18"/>
                <w:color w:val="auto"/>
                <w:w w:val="99"/>
              </w:rPr>
              <w:t>March 31,</w:t>
            </w:r>
          </w:p>
        </w:tc>
        <w:tc>
          <w:tcPr>
            <w:tcW w:w="640" w:type="dxa"/>
            <w:vAlign w:val="bottom"/>
            <w:tcBorders>
              <w:bottom w:val="single" w:sz="8" w:color="auto"/>
            </w:tcBorders>
          </w:tcPr>
          <w:p>
            <w:pPr>
              <w:spacing w:after="0"/>
              <w:rPr>
                <w:sz w:val="19"/>
                <w:szCs w:val="19"/>
                <w:color w:val="auto"/>
              </w:rPr>
            </w:pPr>
          </w:p>
        </w:tc>
      </w:tr>
      <w:tr>
        <w:trPr>
          <w:trHeight w:val="183"/>
        </w:trPr>
        <w:tc>
          <w:tcPr>
            <w:tcW w:w="8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2025</w:t>
            </w:r>
          </w:p>
        </w:tc>
      </w:tr>
      <w:tr>
        <w:trPr>
          <w:trHeight w:val="115"/>
        </w:trPr>
        <w:tc>
          <w:tcPr>
            <w:tcW w:w="8320" w:type="dxa"/>
            <w:vAlign w:val="bottom"/>
          </w:tcPr>
          <w:p>
            <w:pPr>
              <w:spacing w:after="0" w:line="115" w:lineRule="exact"/>
              <w:rPr>
                <w:sz w:val="20"/>
                <w:szCs w:val="20"/>
                <w:color w:val="auto"/>
              </w:rPr>
            </w:pPr>
            <w:r>
              <w:rPr>
                <w:rFonts w:ascii="Arial" w:cs="Arial" w:eastAsia="Arial" w:hAnsi="Arial"/>
                <w:sz w:val="13"/>
                <w:szCs w:val="13"/>
                <w:i w:val="1"/>
                <w:iCs w:val="1"/>
                <w:color w:val="auto"/>
              </w:rPr>
              <w:t>(unaudited; millions of Canadian dollars)</w:t>
            </w:r>
          </w:p>
        </w:tc>
        <w:tc>
          <w:tcPr>
            <w:tcW w:w="120" w:type="dxa"/>
            <w:vAlign w:val="bottom"/>
            <w:shd w:val="clear" w:color="auto" w:fill="DDDDDD"/>
          </w:tcPr>
          <w:p>
            <w:pPr>
              <w:spacing w:after="0"/>
              <w:rPr>
                <w:sz w:val="10"/>
                <w:szCs w:val="10"/>
                <w:color w:val="auto"/>
              </w:rPr>
            </w:pPr>
          </w:p>
        </w:tc>
        <w:tc>
          <w:tcPr>
            <w:tcW w:w="1220" w:type="dxa"/>
            <w:vAlign w:val="bottom"/>
            <w:shd w:val="clear" w:color="auto" w:fill="DDDDDD"/>
          </w:tcPr>
          <w:p>
            <w:pPr>
              <w:spacing w:after="0"/>
              <w:rPr>
                <w:sz w:val="10"/>
                <w:szCs w:val="10"/>
                <w:color w:val="auto"/>
              </w:rPr>
            </w:pPr>
          </w:p>
        </w:tc>
        <w:tc>
          <w:tcPr>
            <w:tcW w:w="100" w:type="dxa"/>
            <w:vAlign w:val="bottom"/>
            <w:shd w:val="clear" w:color="auto" w:fill="DDDDDD"/>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96"/>
        </w:trPr>
        <w:tc>
          <w:tcPr>
            <w:tcW w:w="8320" w:type="dxa"/>
            <w:vAlign w:val="bottom"/>
          </w:tcPr>
          <w:p>
            <w:pPr>
              <w:spacing w:after="0" w:line="183" w:lineRule="exact"/>
              <w:rPr>
                <w:sz w:val="20"/>
                <w:szCs w:val="20"/>
                <w:color w:val="auto"/>
              </w:rPr>
            </w:pPr>
            <w:r>
              <w:rPr>
                <w:rFonts w:ascii="Arial" w:cs="Arial" w:eastAsia="Arial" w:hAnsi="Arial"/>
                <w:sz w:val="18"/>
                <w:szCs w:val="18"/>
                <w:color w:val="auto"/>
              </w:rPr>
              <w:t>Earnings</w:t>
            </w:r>
          </w:p>
        </w:tc>
        <w:tc>
          <w:tcPr>
            <w:tcW w:w="1340" w:type="dxa"/>
            <w:vAlign w:val="bottom"/>
            <w:tcBorders>
              <w:bottom w:val="single" w:sz="8" w:color="DDDDDD"/>
            </w:tcBorders>
            <w:gridSpan w:val="2"/>
            <w:shd w:val="clear" w:color="auto" w:fill="DDDDDD"/>
          </w:tcPr>
          <w:p>
            <w:pPr>
              <w:jc w:val="right"/>
              <w:spacing w:after="0" w:line="183" w:lineRule="exact"/>
              <w:rPr>
                <w:sz w:val="20"/>
                <w:szCs w:val="20"/>
                <w:color w:val="auto"/>
              </w:rPr>
            </w:pPr>
            <w:r>
              <w:rPr>
                <w:rFonts w:ascii="Arial" w:cs="Arial" w:eastAsia="Arial" w:hAnsi="Arial"/>
                <w:sz w:val="18"/>
                <w:szCs w:val="18"/>
                <w:b w:val="1"/>
                <w:bCs w:val="1"/>
                <w:color w:val="auto"/>
              </w:rPr>
              <w:t>1,778</w:t>
            </w:r>
          </w:p>
        </w:tc>
        <w:tc>
          <w:tcPr>
            <w:tcW w:w="100" w:type="dxa"/>
            <w:vAlign w:val="bottom"/>
            <w:tcBorders>
              <w:bottom w:val="single" w:sz="8" w:color="DDDDDD"/>
            </w:tcBorders>
            <w:shd w:val="clear" w:color="auto" w:fill="DDDDDD"/>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jc w:val="right"/>
              <w:ind w:right="31"/>
              <w:spacing w:after="0" w:line="183" w:lineRule="exact"/>
              <w:rPr>
                <w:sz w:val="20"/>
                <w:szCs w:val="20"/>
                <w:color w:val="auto"/>
              </w:rPr>
            </w:pPr>
            <w:r>
              <w:rPr>
                <w:rFonts w:ascii="Arial" w:cs="Arial" w:eastAsia="Arial" w:hAnsi="Arial"/>
                <w:sz w:val="18"/>
                <w:szCs w:val="18"/>
                <w:color w:val="auto"/>
              </w:rPr>
              <w:t>2,490</w:t>
            </w:r>
          </w:p>
        </w:tc>
      </w:tr>
      <w:tr>
        <w:trPr>
          <w:trHeight w:val="157"/>
        </w:trPr>
        <w:tc>
          <w:tcPr>
            <w:tcW w:w="8320" w:type="dxa"/>
            <w:vAlign w:val="bottom"/>
          </w:tcPr>
          <w:p>
            <w:pPr>
              <w:spacing w:after="0" w:line="157" w:lineRule="exact"/>
              <w:rPr>
                <w:sz w:val="20"/>
                <w:szCs w:val="20"/>
                <w:color w:val="auto"/>
              </w:rPr>
            </w:pPr>
            <w:r>
              <w:rPr>
                <w:rFonts w:ascii="Arial" w:cs="Arial" w:eastAsia="Arial" w:hAnsi="Arial"/>
                <w:sz w:val="18"/>
                <w:szCs w:val="18"/>
                <w:color w:val="auto"/>
              </w:rPr>
              <w:t>Other comprehensive income/(loss), net of tax</w:t>
            </w:r>
          </w:p>
        </w:tc>
        <w:tc>
          <w:tcPr>
            <w:tcW w:w="120" w:type="dxa"/>
            <w:vAlign w:val="bottom"/>
            <w:shd w:val="clear" w:color="auto" w:fill="DDDDDD"/>
          </w:tcPr>
          <w:p>
            <w:pPr>
              <w:spacing w:after="0"/>
              <w:rPr>
                <w:sz w:val="13"/>
                <w:szCs w:val="13"/>
                <w:color w:val="auto"/>
              </w:rPr>
            </w:pPr>
          </w:p>
        </w:tc>
        <w:tc>
          <w:tcPr>
            <w:tcW w:w="1220" w:type="dxa"/>
            <w:vAlign w:val="bottom"/>
            <w:shd w:val="clear" w:color="auto" w:fill="DDDDDD"/>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1"/>
        </w:trPr>
        <w:tc>
          <w:tcPr>
            <w:tcW w:w="8320" w:type="dxa"/>
            <w:vAlign w:val="bottom"/>
          </w:tcPr>
          <w:p>
            <w:pPr>
              <w:ind w:left="160"/>
              <w:spacing w:after="0" w:line="189" w:lineRule="exact"/>
              <w:rPr>
                <w:sz w:val="20"/>
                <w:szCs w:val="20"/>
                <w:color w:val="auto"/>
              </w:rPr>
            </w:pPr>
            <w:r>
              <w:rPr>
                <w:rFonts w:ascii="Arial" w:cs="Arial" w:eastAsia="Arial" w:hAnsi="Arial"/>
                <w:sz w:val="18"/>
                <w:szCs w:val="18"/>
                <w:color w:val="auto"/>
              </w:rPr>
              <w:t>Change in unrealized gain/(loss) on cash flow hedges</w:t>
            </w:r>
          </w:p>
        </w:tc>
        <w:tc>
          <w:tcPr>
            <w:tcW w:w="120" w:type="dxa"/>
            <w:vAlign w:val="bottom"/>
            <w:tcBorders>
              <w:bottom w:val="single" w:sz="8" w:color="DDDDDD"/>
            </w:tcBorders>
            <w:shd w:val="clear" w:color="auto" w:fill="DDDDDD"/>
          </w:tcPr>
          <w:p>
            <w:pPr>
              <w:spacing w:after="0"/>
              <w:rPr>
                <w:sz w:val="17"/>
                <w:szCs w:val="17"/>
                <w:color w:val="auto"/>
              </w:rPr>
            </w:pPr>
          </w:p>
        </w:tc>
        <w:tc>
          <w:tcPr>
            <w:tcW w:w="1220" w:type="dxa"/>
            <w:vAlign w:val="bottom"/>
            <w:tcBorders>
              <w:bottom w:val="single" w:sz="8" w:color="DDDDDD"/>
            </w:tcBorders>
            <w:shd w:val="clear" w:color="auto" w:fill="DDDDDD"/>
          </w:tcPr>
          <w:p>
            <w:pPr>
              <w:jc w:val="right"/>
              <w:spacing w:after="0" w:line="189" w:lineRule="exact"/>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(25)</w:t>
            </w:r>
          </w:p>
        </w:tc>
      </w:tr>
      <w:tr>
        <w:trPr>
          <w:trHeight w:val="157"/>
        </w:trPr>
        <w:tc>
          <w:tcPr>
            <w:tcW w:w="8320" w:type="dxa"/>
            <w:vAlign w:val="bottom"/>
          </w:tcPr>
          <w:p>
            <w:pPr>
              <w:ind w:left="160"/>
              <w:spacing w:after="0" w:line="157" w:lineRule="exact"/>
              <w:rPr>
                <w:sz w:val="20"/>
                <w:szCs w:val="20"/>
                <w:color w:val="auto"/>
              </w:rPr>
            </w:pPr>
            <w:r>
              <w:rPr>
                <w:rFonts w:ascii="Arial" w:cs="Arial" w:eastAsia="Arial" w:hAnsi="Arial"/>
                <w:sz w:val="18"/>
                <w:szCs w:val="18"/>
                <w:color w:val="auto"/>
              </w:rPr>
              <w:t xml:space="preserve">Loss on net investment hedges </w:t>
            </w:r>
            <w:r>
              <w:rPr>
                <w:rFonts w:ascii="Arial" w:cs="Arial" w:eastAsia="Arial" w:hAnsi="Arial"/>
                <w:sz w:val="14"/>
                <w:szCs w:val="14"/>
                <w:i w:val="1"/>
                <w:iCs w:val="1"/>
                <w:color w:val="auto"/>
              </w:rPr>
              <w:t>(Note 8)</w:t>
            </w:r>
          </w:p>
        </w:tc>
        <w:tc>
          <w:tcPr>
            <w:tcW w:w="120" w:type="dxa"/>
            <w:vAlign w:val="bottom"/>
            <w:shd w:val="clear" w:color="auto" w:fill="DDDDDD"/>
          </w:tcPr>
          <w:p>
            <w:pPr>
              <w:spacing w:after="0"/>
              <w:rPr>
                <w:sz w:val="13"/>
                <w:szCs w:val="13"/>
                <w:color w:val="auto"/>
              </w:rPr>
            </w:pPr>
          </w:p>
        </w:tc>
        <w:tc>
          <w:tcPr>
            <w:tcW w:w="1220" w:type="dxa"/>
            <w:vAlign w:val="bottom"/>
          </w:tcPr>
          <w:p>
            <w:pPr>
              <w:jc w:val="right"/>
              <w:spacing w:after="0" w:line="157" w:lineRule="exact"/>
              <w:rPr>
                <w:sz w:val="20"/>
                <w:szCs w:val="20"/>
                <w:color w:val="auto"/>
              </w:rPr>
            </w:pPr>
            <w:r>
              <w:rPr>
                <w:rFonts w:ascii="Arial" w:cs="Arial" w:eastAsia="Arial" w:hAnsi="Arial"/>
                <w:sz w:val="18"/>
                <w:szCs w:val="18"/>
                <w:b w:val="1"/>
                <w:bCs w:val="1"/>
                <w:color w:val="auto"/>
              </w:rPr>
              <w:t>(248)</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8"/>
                <w:szCs w:val="18"/>
                <w:color w:val="auto"/>
              </w:rPr>
              <w:t>(34)</w:t>
            </w:r>
          </w:p>
        </w:tc>
      </w:tr>
      <w:tr>
        <w:trPr>
          <w:trHeight w:val="189"/>
        </w:trPr>
        <w:tc>
          <w:tcPr>
            <w:tcW w:w="8320" w:type="dxa"/>
            <w:vAlign w:val="bottom"/>
          </w:tcPr>
          <w:p>
            <w:pPr>
              <w:ind w:left="160"/>
              <w:spacing w:after="0" w:line="189" w:lineRule="exact"/>
              <w:rPr>
                <w:sz w:val="20"/>
                <w:szCs w:val="20"/>
                <w:color w:val="auto"/>
              </w:rPr>
            </w:pPr>
            <w:r>
              <w:rPr>
                <w:rFonts w:ascii="Arial" w:cs="Arial" w:eastAsia="Arial" w:hAnsi="Arial"/>
                <w:sz w:val="18"/>
                <w:szCs w:val="18"/>
                <w:color w:val="auto"/>
              </w:rPr>
              <w:t>Other comprehensive income/(loss) from equity investees and other investments</w:t>
            </w:r>
          </w:p>
        </w:tc>
        <w:tc>
          <w:tcPr>
            <w:tcW w:w="120" w:type="dxa"/>
            <w:vAlign w:val="bottom"/>
            <w:shd w:val="clear" w:color="auto" w:fill="DDDDDD"/>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jc w:val="right"/>
              <w:ind w:right="31"/>
              <w:spacing w:after="0" w:line="189" w:lineRule="exact"/>
              <w:rPr>
                <w:sz w:val="20"/>
                <w:szCs w:val="20"/>
                <w:color w:val="auto"/>
              </w:rPr>
            </w:pPr>
            <w:r>
              <w:rPr>
                <w:rFonts w:ascii="Arial" w:cs="Arial" w:eastAsia="Arial" w:hAnsi="Arial"/>
                <w:sz w:val="18"/>
                <w:szCs w:val="18"/>
                <w:color w:val="auto"/>
              </w:rPr>
              <w:t>12</w:t>
            </w:r>
          </w:p>
        </w:tc>
      </w:tr>
      <w:tr>
        <w:trPr>
          <w:trHeight w:val="189"/>
        </w:trPr>
        <w:tc>
          <w:tcPr>
            <w:tcW w:w="8320" w:type="dxa"/>
            <w:vAlign w:val="bottom"/>
          </w:tcPr>
          <w:p>
            <w:pPr>
              <w:ind w:left="160"/>
              <w:spacing w:after="0" w:line="189" w:lineRule="exact"/>
              <w:rPr>
                <w:sz w:val="20"/>
                <w:szCs w:val="20"/>
                <w:color w:val="auto"/>
              </w:rPr>
            </w:pPr>
            <w:r>
              <w:rPr>
                <w:rFonts w:ascii="Arial" w:cs="Arial" w:eastAsia="Arial" w:hAnsi="Arial"/>
                <w:sz w:val="18"/>
                <w:szCs w:val="18"/>
                <w:color w:val="auto"/>
              </w:rPr>
              <w:t>Excluded components of fair value hedges</w:t>
            </w:r>
          </w:p>
        </w:tc>
        <w:tc>
          <w:tcPr>
            <w:tcW w:w="120" w:type="dxa"/>
            <w:vAlign w:val="bottom"/>
            <w:shd w:val="clear" w:color="auto" w:fill="DDDDDD"/>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jc w:val="right"/>
              <w:ind w:right="31"/>
              <w:spacing w:after="0" w:line="189" w:lineRule="exact"/>
              <w:rPr>
                <w:sz w:val="20"/>
                <w:szCs w:val="20"/>
                <w:color w:val="auto"/>
              </w:rPr>
            </w:pPr>
            <w:r>
              <w:rPr>
                <w:rFonts w:ascii="Arial" w:cs="Arial" w:eastAsia="Arial" w:hAnsi="Arial"/>
                <w:sz w:val="18"/>
                <w:szCs w:val="18"/>
                <w:color w:val="auto"/>
              </w:rPr>
              <w:t>4</w:t>
            </w:r>
          </w:p>
        </w:tc>
      </w:tr>
      <w:tr>
        <w:trPr>
          <w:trHeight w:val="189"/>
        </w:trPr>
        <w:tc>
          <w:tcPr>
            <w:tcW w:w="8320" w:type="dxa"/>
            <w:vAlign w:val="bottom"/>
          </w:tcPr>
          <w:p>
            <w:pPr>
              <w:ind w:left="160"/>
              <w:spacing w:after="0" w:line="189" w:lineRule="exact"/>
              <w:rPr>
                <w:sz w:val="20"/>
                <w:szCs w:val="20"/>
                <w:color w:val="auto"/>
              </w:rPr>
            </w:pPr>
            <w:r>
              <w:rPr>
                <w:rFonts w:ascii="Arial" w:cs="Arial" w:eastAsia="Arial" w:hAnsi="Arial"/>
                <w:sz w:val="18"/>
                <w:szCs w:val="18"/>
                <w:color w:val="auto"/>
              </w:rPr>
              <w:t>Reclassification to earnings of loss on cash flow hedges</w:t>
            </w:r>
          </w:p>
        </w:tc>
        <w:tc>
          <w:tcPr>
            <w:tcW w:w="120" w:type="dxa"/>
            <w:vAlign w:val="bottom"/>
            <w:shd w:val="clear" w:color="auto" w:fill="DDDDDD"/>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jc w:val="right"/>
              <w:ind w:right="31"/>
              <w:spacing w:after="0" w:line="189" w:lineRule="exact"/>
              <w:rPr>
                <w:sz w:val="20"/>
                <w:szCs w:val="20"/>
                <w:color w:val="auto"/>
              </w:rPr>
            </w:pPr>
            <w:r>
              <w:rPr>
                <w:rFonts w:ascii="Arial" w:cs="Arial" w:eastAsia="Arial" w:hAnsi="Arial"/>
                <w:sz w:val="18"/>
                <w:szCs w:val="18"/>
                <w:color w:val="auto"/>
              </w:rPr>
              <w:t>6</w:t>
            </w:r>
          </w:p>
        </w:tc>
      </w:tr>
      <w:tr>
        <w:trPr>
          <w:trHeight w:val="189"/>
        </w:trPr>
        <w:tc>
          <w:tcPr>
            <w:tcW w:w="8320" w:type="dxa"/>
            <w:vAlign w:val="bottom"/>
          </w:tcPr>
          <w:p>
            <w:pPr>
              <w:ind w:left="160"/>
              <w:spacing w:after="0" w:line="189" w:lineRule="exact"/>
              <w:rPr>
                <w:sz w:val="20"/>
                <w:szCs w:val="20"/>
                <w:color w:val="auto"/>
              </w:rPr>
            </w:pPr>
            <w:r>
              <w:rPr>
                <w:rFonts w:ascii="Arial" w:cs="Arial" w:eastAsia="Arial" w:hAnsi="Arial"/>
                <w:sz w:val="18"/>
                <w:szCs w:val="18"/>
                <w:color w:val="auto"/>
              </w:rPr>
              <w:t>Reclassification to earnings of pension and other postretirement benefits (OPEB) amounts</w:t>
            </w:r>
          </w:p>
        </w:tc>
        <w:tc>
          <w:tcPr>
            <w:tcW w:w="120" w:type="dxa"/>
            <w:vAlign w:val="bottom"/>
            <w:shd w:val="clear" w:color="auto" w:fill="DDDDDD"/>
          </w:tcPr>
          <w:p>
            <w:pPr>
              <w:spacing w:after="0"/>
              <w:rPr>
                <w:sz w:val="16"/>
                <w:szCs w:val="16"/>
                <w:color w:val="auto"/>
              </w:rPr>
            </w:pPr>
          </w:p>
        </w:tc>
        <w:tc>
          <w:tcPr>
            <w:tcW w:w="132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(5)</w:t>
            </w:r>
          </w:p>
        </w:tc>
        <w:tc>
          <w:tcPr>
            <w:tcW w:w="84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(7)</w:t>
            </w:r>
          </w:p>
        </w:tc>
      </w:tr>
      <w:tr>
        <w:trPr>
          <w:trHeight w:val="221"/>
        </w:trPr>
        <w:tc>
          <w:tcPr>
            <w:tcW w:w="8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auto"/>
            </w:tcBorders>
            <w:shd w:val="clear" w:color="auto" w:fill="DDDDDD"/>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1,258</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119</w:t>
            </w:r>
          </w:p>
        </w:tc>
      </w:tr>
      <w:tr>
        <w:trPr>
          <w:trHeight w:val="183"/>
        </w:trPr>
        <w:tc>
          <w:tcPr>
            <w:tcW w:w="832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Other comprehensive income, net of tax</w:t>
            </w:r>
          </w:p>
        </w:tc>
        <w:tc>
          <w:tcPr>
            <w:tcW w:w="120" w:type="dxa"/>
            <w:vAlign w:val="bottom"/>
            <w:tcBorders>
              <w:bottom w:val="single" w:sz="8" w:color="auto"/>
            </w:tcBorders>
            <w:shd w:val="clear" w:color="auto" w:fill="DDDDDD"/>
          </w:tcPr>
          <w:p>
            <w:pPr>
              <w:spacing w:after="0"/>
              <w:rPr>
                <w:sz w:val="15"/>
                <w:szCs w:val="15"/>
                <w:color w:val="auto"/>
              </w:rPr>
            </w:pP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989</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75</w:t>
            </w:r>
          </w:p>
        </w:tc>
      </w:tr>
      <w:tr>
        <w:trPr>
          <w:trHeight w:val="150"/>
        </w:trPr>
        <w:tc>
          <w:tcPr>
            <w:tcW w:w="8320" w:type="dxa"/>
            <w:vAlign w:val="bottom"/>
          </w:tcPr>
          <w:p>
            <w:pPr>
              <w:spacing w:after="0" w:line="150" w:lineRule="exact"/>
              <w:rPr>
                <w:sz w:val="20"/>
                <w:szCs w:val="20"/>
                <w:color w:val="auto"/>
              </w:rPr>
            </w:pPr>
            <w:r>
              <w:rPr>
                <w:rFonts w:ascii="Arial" w:cs="Arial" w:eastAsia="Arial" w:hAnsi="Arial"/>
                <w:sz w:val="17"/>
                <w:szCs w:val="17"/>
                <w:color w:val="auto"/>
              </w:rPr>
              <w:t>Comprehensive income</w:t>
            </w:r>
          </w:p>
        </w:tc>
        <w:tc>
          <w:tcPr>
            <w:tcW w:w="120" w:type="dxa"/>
            <w:vAlign w:val="bottom"/>
            <w:shd w:val="clear" w:color="auto" w:fill="DDDDDD"/>
          </w:tcPr>
          <w:p>
            <w:pPr>
              <w:spacing w:after="0"/>
              <w:rPr>
                <w:sz w:val="13"/>
                <w:szCs w:val="13"/>
                <w:color w:val="auto"/>
              </w:rPr>
            </w:pPr>
          </w:p>
        </w:tc>
        <w:tc>
          <w:tcPr>
            <w:tcW w:w="1220" w:type="dxa"/>
            <w:vAlign w:val="bottom"/>
            <w:shd w:val="clear" w:color="auto" w:fill="DDDDDD"/>
          </w:tcPr>
          <w:p>
            <w:pPr>
              <w:jc w:val="right"/>
              <w:spacing w:after="0" w:line="150" w:lineRule="exact"/>
              <w:rPr>
                <w:sz w:val="20"/>
                <w:szCs w:val="20"/>
                <w:color w:val="auto"/>
              </w:rPr>
            </w:pPr>
            <w:r>
              <w:rPr>
                <w:rFonts w:ascii="Arial" w:cs="Arial" w:eastAsia="Arial" w:hAnsi="Arial"/>
                <w:sz w:val="17"/>
                <w:szCs w:val="17"/>
                <w:b w:val="1"/>
                <w:bCs w:val="1"/>
                <w:color w:val="auto"/>
              </w:rPr>
              <w:t>2,767</w:t>
            </w:r>
          </w:p>
        </w:tc>
        <w:tc>
          <w:tcPr>
            <w:tcW w:w="100" w:type="dxa"/>
            <w:vAlign w:val="bottom"/>
            <w:shd w:val="clear" w:color="auto" w:fill="DDDDDD"/>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jc w:val="right"/>
              <w:ind w:right="31"/>
              <w:spacing w:after="0" w:line="150" w:lineRule="exact"/>
              <w:rPr>
                <w:sz w:val="20"/>
                <w:szCs w:val="20"/>
                <w:color w:val="auto"/>
              </w:rPr>
            </w:pPr>
            <w:r>
              <w:rPr>
                <w:rFonts w:ascii="Arial" w:cs="Arial" w:eastAsia="Arial" w:hAnsi="Arial"/>
                <w:sz w:val="17"/>
                <w:szCs w:val="17"/>
                <w:color w:val="auto"/>
              </w:rPr>
              <w:t>2,565</w:t>
            </w:r>
          </w:p>
        </w:tc>
      </w:tr>
      <w:tr>
        <w:trPr>
          <w:trHeight w:val="221"/>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Comprehensive income attributable to noncontrolling interests and redeemable noncontrolling interest</w:t>
            </w:r>
          </w:p>
        </w:tc>
        <w:tc>
          <w:tcPr>
            <w:tcW w:w="120" w:type="dxa"/>
            <w:vAlign w:val="bottom"/>
            <w:tcBorders>
              <w:bottom w:val="single" w:sz="8" w:color="auto"/>
            </w:tcBorders>
            <w:shd w:val="clear" w:color="auto" w:fill="DDDDDD"/>
          </w:tcPr>
          <w:p>
            <w:pPr>
              <w:spacing w:after="0"/>
              <w:rPr>
                <w:sz w:val="19"/>
                <w:szCs w:val="19"/>
                <w:color w:val="auto"/>
              </w:rPr>
            </w:pPr>
          </w:p>
        </w:tc>
        <w:tc>
          <w:tcPr>
            <w:tcW w:w="1320" w:type="dxa"/>
            <w:vAlign w:val="bottom"/>
            <w:tcBorders>
              <w:bottom w:val="single" w:sz="8" w:color="auto"/>
            </w:tcBorders>
            <w:gridSpan w:val="2"/>
            <w:shd w:val="clear" w:color="auto" w:fill="DDDDDD"/>
          </w:tcPr>
          <w:p>
            <w:pPr>
              <w:jc w:val="right"/>
              <w:ind w:right="40"/>
              <w:spacing w:after="0"/>
              <w:rPr>
                <w:sz w:val="20"/>
                <w:szCs w:val="20"/>
                <w:color w:val="auto"/>
              </w:rPr>
            </w:pPr>
            <w:r>
              <w:rPr>
                <w:rFonts w:ascii="Arial" w:cs="Arial" w:eastAsia="Arial" w:hAnsi="Arial"/>
                <w:sz w:val="18"/>
                <w:szCs w:val="18"/>
                <w:b w:val="1"/>
                <w:bCs w:val="1"/>
                <w:color w:val="auto"/>
              </w:rPr>
              <w:t>(18)</w:t>
            </w:r>
          </w:p>
        </w:tc>
        <w:tc>
          <w:tcPr>
            <w:tcW w:w="8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150"/>
        </w:trPr>
        <w:tc>
          <w:tcPr>
            <w:tcW w:w="8320" w:type="dxa"/>
            <w:vAlign w:val="bottom"/>
          </w:tcPr>
          <w:p>
            <w:pPr>
              <w:spacing w:after="0" w:line="150" w:lineRule="exact"/>
              <w:rPr>
                <w:sz w:val="20"/>
                <w:szCs w:val="20"/>
                <w:color w:val="auto"/>
              </w:rPr>
            </w:pPr>
            <w:r>
              <w:rPr>
                <w:rFonts w:ascii="Arial" w:cs="Arial" w:eastAsia="Arial" w:hAnsi="Arial"/>
                <w:sz w:val="17"/>
                <w:szCs w:val="17"/>
                <w:color w:val="auto"/>
              </w:rPr>
              <w:t>Comprehensive income attributable to controlling interests</w:t>
            </w:r>
          </w:p>
        </w:tc>
        <w:tc>
          <w:tcPr>
            <w:tcW w:w="120" w:type="dxa"/>
            <w:vAlign w:val="bottom"/>
            <w:shd w:val="clear" w:color="auto" w:fill="DDDDDD"/>
          </w:tcPr>
          <w:p>
            <w:pPr>
              <w:spacing w:after="0"/>
              <w:rPr>
                <w:sz w:val="13"/>
                <w:szCs w:val="13"/>
                <w:color w:val="auto"/>
              </w:rPr>
            </w:pPr>
          </w:p>
        </w:tc>
        <w:tc>
          <w:tcPr>
            <w:tcW w:w="1220" w:type="dxa"/>
            <w:vAlign w:val="bottom"/>
            <w:shd w:val="clear" w:color="auto" w:fill="DDDDDD"/>
          </w:tcPr>
          <w:p>
            <w:pPr>
              <w:jc w:val="right"/>
              <w:spacing w:after="0" w:line="150" w:lineRule="exact"/>
              <w:rPr>
                <w:sz w:val="20"/>
                <w:szCs w:val="20"/>
                <w:color w:val="auto"/>
              </w:rPr>
            </w:pPr>
            <w:r>
              <w:rPr>
                <w:rFonts w:ascii="Arial" w:cs="Arial" w:eastAsia="Arial" w:hAnsi="Arial"/>
                <w:sz w:val="17"/>
                <w:szCs w:val="17"/>
                <w:b w:val="1"/>
                <w:bCs w:val="1"/>
                <w:color w:val="auto"/>
              </w:rPr>
              <w:t>2,749</w:t>
            </w:r>
          </w:p>
        </w:tc>
        <w:tc>
          <w:tcPr>
            <w:tcW w:w="100" w:type="dxa"/>
            <w:vAlign w:val="bottom"/>
            <w:shd w:val="clear" w:color="auto" w:fill="DDDDDD"/>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jc w:val="right"/>
              <w:ind w:right="31"/>
              <w:spacing w:after="0" w:line="150" w:lineRule="exact"/>
              <w:rPr>
                <w:sz w:val="20"/>
                <w:szCs w:val="20"/>
                <w:color w:val="auto"/>
              </w:rPr>
            </w:pPr>
            <w:r>
              <w:rPr>
                <w:rFonts w:ascii="Arial" w:cs="Arial" w:eastAsia="Arial" w:hAnsi="Arial"/>
                <w:sz w:val="17"/>
                <w:szCs w:val="17"/>
                <w:color w:val="auto"/>
              </w:rPr>
              <w:t>2,437</w:t>
            </w:r>
          </w:p>
        </w:tc>
      </w:tr>
      <w:tr>
        <w:trPr>
          <w:trHeight w:val="221"/>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Preference share dividends</w:t>
            </w:r>
          </w:p>
        </w:tc>
        <w:tc>
          <w:tcPr>
            <w:tcW w:w="120" w:type="dxa"/>
            <w:vAlign w:val="bottom"/>
            <w:tcBorders>
              <w:bottom w:val="single" w:sz="8" w:color="auto"/>
            </w:tcBorders>
            <w:shd w:val="clear" w:color="auto" w:fill="DDDDDD"/>
          </w:tcPr>
          <w:p>
            <w:pPr>
              <w:spacing w:after="0"/>
              <w:rPr>
                <w:sz w:val="19"/>
                <w:szCs w:val="19"/>
                <w:color w:val="auto"/>
              </w:rPr>
            </w:pPr>
          </w:p>
        </w:tc>
        <w:tc>
          <w:tcPr>
            <w:tcW w:w="1320" w:type="dxa"/>
            <w:vAlign w:val="bottom"/>
            <w:tcBorders>
              <w:bottom w:val="single" w:sz="8" w:color="auto"/>
            </w:tcBorders>
            <w:gridSpan w:val="2"/>
            <w:shd w:val="clear" w:color="auto" w:fill="DDDDDD"/>
          </w:tcPr>
          <w:p>
            <w:pPr>
              <w:jc w:val="right"/>
              <w:ind w:right="40"/>
              <w:spacing w:after="0"/>
              <w:rPr>
                <w:sz w:val="20"/>
                <w:szCs w:val="20"/>
                <w:color w:val="auto"/>
              </w:rPr>
            </w:pPr>
            <w:r>
              <w:rPr>
                <w:rFonts w:ascii="Arial" w:cs="Arial" w:eastAsia="Arial" w:hAnsi="Arial"/>
                <w:sz w:val="18"/>
                <w:szCs w:val="18"/>
                <w:b w:val="1"/>
                <w:bCs w:val="1"/>
                <w:color w:val="auto"/>
              </w:rPr>
              <w:t>(107)</w:t>
            </w:r>
          </w:p>
        </w:tc>
        <w:tc>
          <w:tcPr>
            <w:tcW w:w="8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03"/>
        </w:trPr>
        <w:tc>
          <w:tcPr>
            <w:tcW w:w="832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Comprehensive income attributable to common shareholders</w:t>
            </w:r>
          </w:p>
        </w:tc>
        <w:tc>
          <w:tcPr>
            <w:tcW w:w="120" w:type="dxa"/>
            <w:vAlign w:val="bottom"/>
            <w:tcBorders>
              <w:bottom w:val="single" w:sz="8" w:color="auto"/>
            </w:tcBorders>
            <w:shd w:val="clear" w:color="auto" w:fill="DDDDDD"/>
          </w:tcPr>
          <w:p>
            <w:pPr>
              <w:spacing w:after="0"/>
              <w:rPr>
                <w:sz w:val="17"/>
                <w:szCs w:val="17"/>
                <w:color w:val="auto"/>
              </w:rPr>
            </w:pPr>
          </w:p>
        </w:tc>
        <w:tc>
          <w:tcPr>
            <w:tcW w:w="1220" w:type="dxa"/>
            <w:vAlign w:val="bottom"/>
            <w:tcBorders>
              <w:bottom w:val="single" w:sz="8" w:color="auto"/>
            </w:tcBorders>
            <w:shd w:val="clear" w:color="auto" w:fill="DDDDDD"/>
          </w:tcPr>
          <w:p>
            <w:pPr>
              <w:jc w:val="right"/>
              <w:spacing w:after="0" w:line="182" w:lineRule="exact"/>
              <w:rPr>
                <w:sz w:val="20"/>
                <w:szCs w:val="20"/>
                <w:color w:val="auto"/>
              </w:rPr>
            </w:pPr>
            <w:r>
              <w:rPr>
                <w:rFonts w:ascii="Arial" w:cs="Arial" w:eastAsia="Arial" w:hAnsi="Arial"/>
                <w:sz w:val="18"/>
                <w:szCs w:val="18"/>
                <w:b w:val="1"/>
                <w:bCs w:val="1"/>
                <w:color w:val="auto"/>
              </w:rPr>
              <w:t>2,642</w:t>
            </w:r>
          </w:p>
        </w:tc>
        <w:tc>
          <w:tcPr>
            <w:tcW w:w="100" w:type="dxa"/>
            <w:vAlign w:val="bottom"/>
            <w:tcBorders>
              <w:bottom w:val="single" w:sz="8" w:color="auto"/>
            </w:tcBorders>
            <w:shd w:val="clear" w:color="auto" w:fill="DDDDDD"/>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2,334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-1739900</wp:posOffset>
            </wp:positionV>
            <wp:extent cx="848995" cy="1097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8995" cy="109728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interim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7"/>
          <w:szCs w:val="27"/>
          <w:b w:val="1"/>
          <w:bCs w:val="1"/>
          <w:color w:val="auto"/>
        </w:rPr>
        <w:t>ENBRIDGE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CONSOLIDATED STATEMENTS OF CHANGES IN EQUITY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3"/>
          </w:tcPr>
          <w:p>
            <w:pPr>
              <w:jc w:val="center"/>
              <w:ind w:left="348"/>
              <w:spacing w:after="0"/>
              <w:rPr>
                <w:sz w:val="20"/>
                <w:szCs w:val="20"/>
                <w:color w:val="auto"/>
              </w:rPr>
            </w:pPr>
            <w:r>
              <w:rPr>
                <w:rFonts w:ascii="Arial" w:cs="Arial" w:eastAsia="Arial" w:hAnsi="Arial"/>
                <w:sz w:val="14"/>
                <w:szCs w:val="14"/>
                <w:color w:val="auto"/>
              </w:rPr>
              <w:t>Three months ended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left="348"/>
              <w:spacing w:after="0"/>
              <w:rPr>
                <w:sz w:val="20"/>
                <w:szCs w:val="20"/>
                <w:color w:val="auto"/>
              </w:rPr>
            </w:pPr>
            <w:r>
              <w:rPr>
                <w:rFonts w:ascii="Arial" w:cs="Arial" w:eastAsia="Arial" w:hAnsi="Arial"/>
                <w:sz w:val="14"/>
                <w:szCs w:val="14"/>
                <w:color w:val="auto"/>
                <w:w w:val="99"/>
              </w:rPr>
              <w:t>March 31,</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19"/>
        </w:trPr>
        <w:tc>
          <w:tcPr>
            <w:tcW w:w="8620" w:type="dxa"/>
            <w:vAlign w:val="bottom"/>
          </w:tcPr>
          <w:p>
            <w:pPr>
              <w:spacing w:after="0" w:line="119" w:lineRule="exact"/>
              <w:rPr>
                <w:sz w:val="20"/>
                <w:szCs w:val="20"/>
                <w:color w:val="auto"/>
              </w:rPr>
            </w:pPr>
            <w:r>
              <w:rPr>
                <w:rFonts w:ascii="Arial" w:cs="Arial" w:eastAsia="Arial" w:hAnsi="Arial"/>
                <w:sz w:val="13"/>
                <w:szCs w:val="13"/>
                <w:i w:val="1"/>
                <w:iCs w:val="1"/>
                <w:color w:val="auto"/>
              </w:rPr>
              <w:t>(unaudited; millions of Canadian dollars, except per share amounts)</w:t>
            </w:r>
          </w:p>
        </w:tc>
        <w:tc>
          <w:tcPr>
            <w:tcW w:w="120" w:type="dxa"/>
            <w:vAlign w:val="bottom"/>
            <w:shd w:val="clear" w:color="auto" w:fill="DDDDDD"/>
          </w:tcPr>
          <w:p>
            <w:pPr>
              <w:spacing w:after="0"/>
              <w:rPr>
                <w:sz w:val="10"/>
                <w:szCs w:val="10"/>
                <w:color w:val="auto"/>
              </w:rPr>
            </w:pPr>
          </w:p>
        </w:tc>
        <w:tc>
          <w:tcPr>
            <w:tcW w:w="1060" w:type="dxa"/>
            <w:vAlign w:val="bottom"/>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20" w:type="dxa"/>
            <w:vAlign w:val="bottom"/>
          </w:tcPr>
          <w:p>
            <w:pPr>
              <w:spacing w:after="0" w:line="149" w:lineRule="exact"/>
              <w:rPr>
                <w:sz w:val="20"/>
                <w:szCs w:val="20"/>
                <w:color w:val="auto"/>
              </w:rPr>
            </w:pPr>
            <w:r>
              <w:rPr>
                <w:rFonts w:ascii="Arial" w:cs="Arial" w:eastAsia="Arial" w:hAnsi="Arial"/>
                <w:sz w:val="14"/>
                <w:szCs w:val="14"/>
                <w:color w:val="auto"/>
              </w:rPr>
              <w:t>Preference shares</w:t>
            </w:r>
          </w:p>
        </w:tc>
        <w:tc>
          <w:tcPr>
            <w:tcW w:w="1180" w:type="dxa"/>
            <w:vAlign w:val="bottom"/>
            <w:gridSpan w:val="2"/>
            <w:vMerge w:val="restart"/>
            <w:shd w:val="clear" w:color="auto" w:fill="DDDDDD"/>
          </w:tcPr>
          <w:p>
            <w:pPr>
              <w:jc w:val="right"/>
              <w:spacing w:after="0"/>
              <w:rPr>
                <w:sz w:val="20"/>
                <w:szCs w:val="20"/>
                <w:color w:val="auto"/>
              </w:rPr>
            </w:pPr>
            <w:r>
              <w:rPr>
                <w:rFonts w:ascii="Arial" w:cs="Arial" w:eastAsia="Arial" w:hAnsi="Arial"/>
                <w:sz w:val="14"/>
                <w:szCs w:val="14"/>
                <w:b w:val="1"/>
                <w:bCs w:val="1"/>
                <w:color w:val="auto"/>
              </w:rPr>
              <w:t>6,818</w:t>
            </w:r>
          </w:p>
        </w:tc>
        <w:tc>
          <w:tcPr>
            <w:tcW w:w="120" w:type="dxa"/>
            <w:vAlign w:val="bottom"/>
            <w:shd w:val="clear" w:color="auto" w:fill="DDDDDD"/>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6,818</w:t>
            </w:r>
          </w:p>
        </w:tc>
        <w:tc>
          <w:tcPr>
            <w:tcW w:w="0" w:type="dxa"/>
            <w:vAlign w:val="bottom"/>
          </w:tcPr>
          <w:p>
            <w:pPr>
              <w:spacing w:after="0"/>
              <w:rPr>
                <w:sz w:val="1"/>
                <w:szCs w:val="1"/>
                <w:color w:val="auto"/>
              </w:rPr>
            </w:pPr>
          </w:p>
        </w:tc>
      </w:tr>
      <w:tr>
        <w:trPr>
          <w:trHeight w:val="171"/>
        </w:trPr>
        <w:tc>
          <w:tcPr>
            <w:tcW w:w="86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Balance at beginning and end of period</w:t>
            </w:r>
          </w:p>
        </w:tc>
        <w:tc>
          <w:tcPr>
            <w:tcW w:w="1180" w:type="dxa"/>
            <w:vAlign w:val="bottom"/>
            <w:tcBorders>
              <w:bottom w:val="single" w:sz="8" w:color="auto"/>
            </w:tcBorders>
            <w:gridSpan w:val="2"/>
            <w:vMerge w:val="continue"/>
            <w:shd w:val="clear" w:color="auto" w:fill="DDDDDD"/>
          </w:tcPr>
          <w:p>
            <w:pPr>
              <w:spacing w:after="0"/>
              <w:rPr>
                <w:sz w:val="14"/>
                <w:szCs w:val="14"/>
                <w:color w:val="auto"/>
              </w:rPr>
            </w:pPr>
          </w:p>
        </w:tc>
        <w:tc>
          <w:tcPr>
            <w:tcW w:w="120" w:type="dxa"/>
            <w:vAlign w:val="bottom"/>
            <w:tcBorders>
              <w:bottom w:val="single" w:sz="8" w:color="auto"/>
            </w:tcBorders>
            <w:shd w:val="clear" w:color="auto" w:fill="DDDDDD"/>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20" w:type="dxa"/>
            <w:vAlign w:val="bottom"/>
          </w:tcPr>
          <w:p>
            <w:pPr>
              <w:spacing w:after="0" w:line="119" w:lineRule="exact"/>
              <w:rPr>
                <w:sz w:val="20"/>
                <w:szCs w:val="20"/>
                <w:color w:val="auto"/>
              </w:rPr>
            </w:pPr>
            <w:r>
              <w:rPr>
                <w:rFonts w:ascii="Arial" w:cs="Arial" w:eastAsia="Arial" w:hAnsi="Arial"/>
                <w:sz w:val="13"/>
                <w:szCs w:val="13"/>
                <w:color w:val="auto"/>
              </w:rPr>
              <w:t>Common shares</w:t>
            </w:r>
          </w:p>
        </w:tc>
        <w:tc>
          <w:tcPr>
            <w:tcW w:w="120" w:type="dxa"/>
            <w:vAlign w:val="bottom"/>
            <w:shd w:val="clear" w:color="auto" w:fill="DDDDDD"/>
          </w:tcPr>
          <w:p>
            <w:pPr>
              <w:spacing w:after="0"/>
              <w:rPr>
                <w:sz w:val="10"/>
                <w:szCs w:val="10"/>
                <w:color w:val="auto"/>
              </w:rPr>
            </w:pPr>
          </w:p>
        </w:tc>
        <w:tc>
          <w:tcPr>
            <w:tcW w:w="1060" w:type="dxa"/>
            <w:vAlign w:val="bottom"/>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20" w:type="dxa"/>
            <w:vAlign w:val="bottom"/>
          </w:tcPr>
          <w:p>
            <w:pPr>
              <w:ind w:left="160"/>
              <w:spacing w:after="0" w:line="149" w:lineRule="exact"/>
              <w:rPr>
                <w:sz w:val="20"/>
                <w:szCs w:val="20"/>
                <w:color w:val="auto"/>
              </w:rPr>
            </w:pPr>
            <w:r>
              <w:rPr>
                <w:rFonts w:ascii="Arial" w:cs="Arial" w:eastAsia="Arial" w:hAnsi="Arial"/>
                <w:sz w:val="14"/>
                <w:szCs w:val="14"/>
                <w:color w:val="auto"/>
              </w:rPr>
              <w:t>Balance at beginning of period</w:t>
            </w:r>
          </w:p>
        </w:tc>
        <w:tc>
          <w:tcPr>
            <w:tcW w:w="120" w:type="dxa"/>
            <w:vAlign w:val="bottom"/>
            <w:shd w:val="clear" w:color="auto" w:fill="DDDDDD"/>
          </w:tcPr>
          <w:p>
            <w:pPr>
              <w:spacing w:after="0"/>
              <w:rPr>
                <w:sz w:val="12"/>
                <w:szCs w:val="12"/>
                <w:color w:val="auto"/>
              </w:rPr>
            </w:pPr>
          </w:p>
        </w:tc>
        <w:tc>
          <w:tcPr>
            <w:tcW w:w="106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71,876</w:t>
            </w:r>
          </w:p>
        </w:tc>
        <w:tc>
          <w:tcPr>
            <w:tcW w:w="120" w:type="dxa"/>
            <w:vAlign w:val="bottom"/>
            <w:shd w:val="clear" w:color="auto" w:fill="DDDDDD"/>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71,738</w:t>
            </w:r>
          </w:p>
        </w:tc>
        <w:tc>
          <w:tcPr>
            <w:tcW w:w="0" w:type="dxa"/>
            <w:vAlign w:val="bottom"/>
          </w:tcPr>
          <w:p>
            <w:pPr>
              <w:spacing w:after="0"/>
              <w:rPr>
                <w:sz w:val="1"/>
                <w:szCs w:val="1"/>
                <w:color w:val="auto"/>
              </w:rPr>
            </w:pPr>
          </w:p>
        </w:tc>
      </w:tr>
      <w:tr>
        <w:trPr>
          <w:trHeight w:val="148"/>
        </w:trPr>
        <w:tc>
          <w:tcPr>
            <w:tcW w:w="8620" w:type="dxa"/>
            <w:vAlign w:val="bottom"/>
          </w:tcPr>
          <w:p>
            <w:pPr>
              <w:ind w:left="160"/>
              <w:spacing w:after="0" w:line="149" w:lineRule="exact"/>
              <w:rPr>
                <w:sz w:val="20"/>
                <w:szCs w:val="20"/>
                <w:color w:val="auto"/>
              </w:rPr>
            </w:pPr>
            <w:r>
              <w:rPr>
                <w:rFonts w:ascii="Arial" w:cs="Arial" w:eastAsia="Arial" w:hAnsi="Arial"/>
                <w:sz w:val="14"/>
                <w:szCs w:val="14"/>
                <w:color w:val="auto"/>
              </w:rPr>
              <w:t>Shares issued on exercise of stock options</w:t>
            </w:r>
          </w:p>
        </w:tc>
        <w:tc>
          <w:tcPr>
            <w:tcW w:w="120" w:type="dxa"/>
            <w:vAlign w:val="bottom"/>
            <w:shd w:val="clear" w:color="auto" w:fill="DDDDDD"/>
          </w:tcPr>
          <w:p>
            <w:pPr>
              <w:spacing w:after="0"/>
              <w:rPr>
                <w:sz w:val="12"/>
                <w:szCs w:val="12"/>
                <w:color w:val="auto"/>
              </w:rPr>
            </w:pPr>
          </w:p>
        </w:tc>
        <w:tc>
          <w:tcPr>
            <w:tcW w:w="106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120" w:type="dxa"/>
            <w:vAlign w:val="bottom"/>
            <w:shd w:val="clear" w:color="auto" w:fill="DDDDDD"/>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71"/>
        </w:trPr>
        <w:tc>
          <w:tcPr>
            <w:tcW w:w="86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Shares issued on vesting of restricted stock units (RSU)</w:t>
            </w:r>
          </w:p>
        </w:tc>
        <w:tc>
          <w:tcPr>
            <w:tcW w:w="120" w:type="dxa"/>
            <w:vAlign w:val="bottom"/>
            <w:tcBorders>
              <w:bottom w:val="single" w:sz="8" w:color="auto"/>
            </w:tcBorders>
            <w:shd w:val="clear" w:color="auto" w:fill="DDDDDD"/>
          </w:tcPr>
          <w:p>
            <w:pPr>
              <w:spacing w:after="0"/>
              <w:rPr>
                <w:sz w:val="14"/>
                <w:szCs w:val="14"/>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auto"/>
              </w:rPr>
              <w:t>55</w:t>
            </w:r>
          </w:p>
        </w:tc>
        <w:tc>
          <w:tcPr>
            <w:tcW w:w="120" w:type="dxa"/>
            <w:vAlign w:val="bottom"/>
            <w:tcBorders>
              <w:bottom w:val="single" w:sz="8" w:color="auto"/>
            </w:tcBorders>
            <w:shd w:val="clear" w:color="auto" w:fill="DDDDDD"/>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8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Balance at end of period</w:t>
            </w:r>
          </w:p>
        </w:tc>
        <w:tc>
          <w:tcPr>
            <w:tcW w:w="120" w:type="dxa"/>
            <w:vAlign w:val="bottom"/>
            <w:tcBorders>
              <w:bottom w:val="single" w:sz="8" w:color="auto"/>
            </w:tcBorders>
            <w:shd w:val="clear" w:color="auto" w:fill="DDDDDD"/>
          </w:tcPr>
          <w:p>
            <w:pPr>
              <w:spacing w:after="0"/>
              <w:rPr>
                <w:sz w:val="12"/>
                <w:szCs w:val="12"/>
                <w:color w:val="auto"/>
              </w:rPr>
            </w:pPr>
          </w:p>
        </w:tc>
        <w:tc>
          <w:tcPr>
            <w:tcW w:w="1060" w:type="dxa"/>
            <w:vAlign w:val="bottom"/>
            <w:tcBorders>
              <w:bottom w:val="single" w:sz="8" w:color="auto"/>
            </w:tcBorders>
            <w:shd w:val="clear" w:color="auto" w:fill="DDDDDD"/>
          </w:tcPr>
          <w:p>
            <w:pPr>
              <w:jc w:val="right"/>
              <w:spacing w:after="0" w:line="142" w:lineRule="exact"/>
              <w:rPr>
                <w:sz w:val="20"/>
                <w:szCs w:val="20"/>
                <w:color w:val="auto"/>
              </w:rPr>
            </w:pPr>
            <w:r>
              <w:rPr>
                <w:rFonts w:ascii="Arial" w:cs="Arial" w:eastAsia="Arial" w:hAnsi="Arial"/>
                <w:sz w:val="14"/>
                <w:szCs w:val="14"/>
                <w:b w:val="1"/>
                <w:bCs w:val="1"/>
                <w:color w:val="auto"/>
              </w:rPr>
              <w:t>71,943</w:t>
            </w:r>
          </w:p>
        </w:tc>
        <w:tc>
          <w:tcPr>
            <w:tcW w:w="120" w:type="dxa"/>
            <w:vAlign w:val="bottom"/>
            <w:tcBorders>
              <w:bottom w:val="single" w:sz="8" w:color="auto"/>
            </w:tcBorders>
            <w:shd w:val="clear" w:color="auto" w:fill="DDDDDD"/>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71,808</w:t>
            </w:r>
          </w:p>
        </w:tc>
        <w:tc>
          <w:tcPr>
            <w:tcW w:w="0" w:type="dxa"/>
            <w:vAlign w:val="bottom"/>
          </w:tcPr>
          <w:p>
            <w:pPr>
              <w:spacing w:after="0"/>
              <w:rPr>
                <w:sz w:val="1"/>
                <w:szCs w:val="1"/>
                <w:color w:val="auto"/>
              </w:rPr>
            </w:pPr>
          </w:p>
        </w:tc>
      </w:tr>
      <w:tr>
        <w:trPr>
          <w:trHeight w:val="119"/>
        </w:trPr>
        <w:tc>
          <w:tcPr>
            <w:tcW w:w="8620" w:type="dxa"/>
            <w:vAlign w:val="bottom"/>
          </w:tcPr>
          <w:p>
            <w:pPr>
              <w:spacing w:after="0" w:line="119" w:lineRule="exact"/>
              <w:rPr>
                <w:sz w:val="20"/>
                <w:szCs w:val="20"/>
                <w:color w:val="auto"/>
              </w:rPr>
            </w:pPr>
            <w:r>
              <w:rPr>
                <w:rFonts w:ascii="Arial" w:cs="Arial" w:eastAsia="Arial" w:hAnsi="Arial"/>
                <w:sz w:val="13"/>
                <w:szCs w:val="13"/>
                <w:color w:val="auto"/>
              </w:rPr>
              <w:t>Additional paid-in capital</w:t>
            </w:r>
          </w:p>
        </w:tc>
        <w:tc>
          <w:tcPr>
            <w:tcW w:w="120" w:type="dxa"/>
            <w:vAlign w:val="bottom"/>
            <w:shd w:val="clear" w:color="auto" w:fill="DDDDDD"/>
          </w:tcPr>
          <w:p>
            <w:pPr>
              <w:spacing w:after="0"/>
              <w:rPr>
                <w:sz w:val="10"/>
                <w:szCs w:val="10"/>
                <w:color w:val="auto"/>
              </w:rPr>
            </w:pPr>
          </w:p>
        </w:tc>
        <w:tc>
          <w:tcPr>
            <w:tcW w:w="1060" w:type="dxa"/>
            <w:vAlign w:val="bottom"/>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620" w:type="dxa"/>
            <w:vAlign w:val="bottom"/>
          </w:tcPr>
          <w:p>
            <w:pPr>
              <w:ind w:left="160"/>
              <w:spacing w:after="0" w:line="149" w:lineRule="exact"/>
              <w:rPr>
                <w:sz w:val="20"/>
                <w:szCs w:val="20"/>
                <w:color w:val="auto"/>
              </w:rPr>
            </w:pPr>
            <w:r>
              <w:rPr>
                <w:rFonts w:ascii="Arial" w:cs="Arial" w:eastAsia="Arial" w:hAnsi="Arial"/>
                <w:sz w:val="14"/>
                <w:szCs w:val="14"/>
                <w:color w:val="auto"/>
              </w:rPr>
              <w:t>Balance at beginning of period</w:t>
            </w:r>
          </w:p>
        </w:tc>
        <w:tc>
          <w:tcPr>
            <w:tcW w:w="120" w:type="dxa"/>
            <w:vAlign w:val="bottom"/>
            <w:shd w:val="clear" w:color="auto" w:fill="DDDDDD"/>
          </w:tcPr>
          <w:p>
            <w:pPr>
              <w:spacing w:after="0"/>
              <w:rPr>
                <w:sz w:val="12"/>
                <w:szCs w:val="12"/>
                <w:color w:val="auto"/>
              </w:rPr>
            </w:pPr>
          </w:p>
        </w:tc>
        <w:tc>
          <w:tcPr>
            <w:tcW w:w="106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242</w:t>
            </w:r>
          </w:p>
        </w:tc>
        <w:tc>
          <w:tcPr>
            <w:tcW w:w="120" w:type="dxa"/>
            <w:vAlign w:val="bottom"/>
            <w:shd w:val="clear" w:color="auto" w:fill="DDDDDD"/>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48"/>
        </w:trPr>
        <w:tc>
          <w:tcPr>
            <w:tcW w:w="8620" w:type="dxa"/>
            <w:vAlign w:val="bottom"/>
          </w:tcPr>
          <w:p>
            <w:pPr>
              <w:ind w:left="160"/>
              <w:spacing w:after="0" w:line="149" w:lineRule="exact"/>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DDDDDD"/>
          </w:tcPr>
          <w:p>
            <w:pPr>
              <w:spacing w:after="0"/>
              <w:rPr>
                <w:sz w:val="12"/>
                <w:szCs w:val="12"/>
                <w:color w:val="auto"/>
              </w:rPr>
            </w:pPr>
          </w:p>
        </w:tc>
        <w:tc>
          <w:tcPr>
            <w:tcW w:w="106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120" w:type="dxa"/>
            <w:vAlign w:val="bottom"/>
            <w:shd w:val="clear" w:color="auto" w:fill="DDDDDD"/>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8"/>
        </w:trPr>
        <w:tc>
          <w:tcPr>
            <w:tcW w:w="8620" w:type="dxa"/>
            <w:vAlign w:val="bottom"/>
          </w:tcPr>
          <w:p>
            <w:pPr>
              <w:ind w:left="160"/>
              <w:spacing w:after="0" w:line="149" w:lineRule="exact"/>
              <w:rPr>
                <w:sz w:val="20"/>
                <w:szCs w:val="20"/>
                <w:color w:val="auto"/>
              </w:rPr>
            </w:pPr>
            <w:r>
              <w:rPr>
                <w:rFonts w:ascii="Arial" w:cs="Arial" w:eastAsia="Arial" w:hAnsi="Arial"/>
                <w:sz w:val="14"/>
                <w:szCs w:val="14"/>
                <w:color w:val="auto"/>
              </w:rPr>
              <w:t>Stock options exercised</w:t>
            </w:r>
          </w:p>
        </w:tc>
        <w:tc>
          <w:tcPr>
            <w:tcW w:w="120" w:type="dxa"/>
            <w:vAlign w:val="bottom"/>
            <w:shd w:val="clear" w:color="auto" w:fill="DDDDDD"/>
          </w:tcPr>
          <w:p>
            <w:pPr>
              <w:spacing w:after="0"/>
              <w:rPr>
                <w:sz w:val="12"/>
                <w:szCs w:val="12"/>
                <w:color w:val="auto"/>
              </w:rPr>
            </w:pPr>
          </w:p>
        </w:tc>
        <w:tc>
          <w:tcPr>
            <w:tcW w:w="106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120" w:type="dxa"/>
            <w:vAlign w:val="bottom"/>
            <w:shd w:val="clear" w:color="auto" w:fill="DDDDDD"/>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71"/>
        </w:trPr>
        <w:tc>
          <w:tcPr>
            <w:tcW w:w="86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Vested RSUs</w:t>
            </w:r>
          </w:p>
        </w:tc>
        <w:tc>
          <w:tcPr>
            <w:tcW w:w="120" w:type="dxa"/>
            <w:vAlign w:val="bottom"/>
            <w:tcBorders>
              <w:bottom w:val="single" w:sz="8" w:color="auto"/>
            </w:tcBorders>
            <w:shd w:val="clear" w:color="auto" w:fill="DDDDDD"/>
          </w:tcPr>
          <w:p>
            <w:pPr>
              <w:spacing w:after="0"/>
              <w:rPr>
                <w:sz w:val="14"/>
                <w:szCs w:val="14"/>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auto"/>
              </w:rPr>
              <w:t>(94)</w:t>
            </w:r>
          </w:p>
        </w:tc>
        <w:tc>
          <w:tcPr>
            <w:tcW w:w="120" w:type="dxa"/>
            <w:vAlign w:val="bottom"/>
            <w:tcBorders>
              <w:bottom w:val="single" w:sz="8" w:color="auto"/>
            </w:tcBorders>
            <w:shd w:val="clear" w:color="auto" w:fill="DDDDDD"/>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8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Balance at end of period</w:t>
            </w:r>
          </w:p>
        </w:tc>
        <w:tc>
          <w:tcPr>
            <w:tcW w:w="120" w:type="dxa"/>
            <w:vAlign w:val="bottom"/>
            <w:tcBorders>
              <w:bottom w:val="single" w:sz="8" w:color="auto"/>
            </w:tcBorders>
            <w:shd w:val="clear" w:color="auto" w:fill="DDDDDD"/>
          </w:tcPr>
          <w:p>
            <w:pPr>
              <w:spacing w:after="0"/>
              <w:rPr>
                <w:sz w:val="12"/>
                <w:szCs w:val="12"/>
                <w:color w:val="auto"/>
              </w:rPr>
            </w:pPr>
          </w:p>
        </w:tc>
        <w:tc>
          <w:tcPr>
            <w:tcW w:w="1060" w:type="dxa"/>
            <w:vAlign w:val="bottom"/>
            <w:tcBorders>
              <w:bottom w:val="single" w:sz="8" w:color="auto"/>
            </w:tcBorders>
            <w:shd w:val="clear" w:color="auto" w:fill="DDDDDD"/>
          </w:tcPr>
          <w:p>
            <w:pPr>
              <w:jc w:val="right"/>
              <w:spacing w:after="0" w:line="142" w:lineRule="exact"/>
              <w:rPr>
                <w:sz w:val="20"/>
                <w:szCs w:val="20"/>
                <w:color w:val="auto"/>
              </w:rPr>
            </w:pPr>
            <w:r>
              <w:rPr>
                <w:rFonts w:ascii="Arial" w:cs="Arial" w:eastAsia="Arial" w:hAnsi="Arial"/>
                <w:sz w:val="14"/>
                <w:szCs w:val="14"/>
                <w:b w:val="1"/>
                <w:bCs w:val="1"/>
                <w:color w:val="auto"/>
              </w:rPr>
              <w:t>168</w:t>
            </w:r>
          </w:p>
        </w:tc>
        <w:tc>
          <w:tcPr>
            <w:tcW w:w="120" w:type="dxa"/>
            <w:vAlign w:val="bottom"/>
            <w:tcBorders>
              <w:bottom w:val="single" w:sz="8" w:color="auto"/>
            </w:tcBorders>
            <w:shd w:val="clear" w:color="auto" w:fill="DDDDDD"/>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19"/>
        </w:trPr>
        <w:tc>
          <w:tcPr>
            <w:tcW w:w="8620" w:type="dxa"/>
            <w:vAlign w:val="bottom"/>
          </w:tcPr>
          <w:p>
            <w:pPr>
              <w:spacing w:after="0" w:line="119" w:lineRule="exact"/>
              <w:rPr>
                <w:sz w:val="20"/>
                <w:szCs w:val="20"/>
                <w:color w:val="auto"/>
              </w:rPr>
            </w:pPr>
            <w:r>
              <w:rPr>
                <w:rFonts w:ascii="Arial" w:cs="Arial" w:eastAsia="Arial" w:hAnsi="Arial"/>
                <w:sz w:val="13"/>
                <w:szCs w:val="13"/>
                <w:color w:val="auto"/>
              </w:rPr>
              <w:t>Deficit</w:t>
            </w:r>
          </w:p>
        </w:tc>
        <w:tc>
          <w:tcPr>
            <w:tcW w:w="120" w:type="dxa"/>
            <w:vAlign w:val="bottom"/>
            <w:shd w:val="clear" w:color="auto" w:fill="DDDDDD"/>
          </w:tcPr>
          <w:p>
            <w:pPr>
              <w:spacing w:after="0"/>
              <w:rPr>
                <w:sz w:val="10"/>
                <w:szCs w:val="10"/>
                <w:color w:val="auto"/>
              </w:rPr>
            </w:pPr>
          </w:p>
        </w:tc>
        <w:tc>
          <w:tcPr>
            <w:tcW w:w="1060" w:type="dxa"/>
            <w:vAlign w:val="bottom"/>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20" w:type="dxa"/>
            <w:vAlign w:val="bottom"/>
          </w:tcPr>
          <w:p>
            <w:pPr>
              <w:ind w:left="160"/>
              <w:spacing w:after="0" w:line="149" w:lineRule="exact"/>
              <w:rPr>
                <w:sz w:val="20"/>
                <w:szCs w:val="20"/>
                <w:color w:val="auto"/>
              </w:rPr>
            </w:pPr>
            <w:r>
              <w:rPr>
                <w:rFonts w:ascii="Arial" w:cs="Arial" w:eastAsia="Arial" w:hAnsi="Arial"/>
                <w:sz w:val="14"/>
                <w:szCs w:val="14"/>
                <w:color w:val="auto"/>
              </w:rPr>
              <w:t>Balance at beginning of period</w:t>
            </w:r>
          </w:p>
        </w:tc>
        <w:tc>
          <w:tcPr>
            <w:tcW w:w="120" w:type="dxa"/>
            <w:vAlign w:val="bottom"/>
            <w:shd w:val="clear" w:color="auto" w:fill="DDDDDD"/>
          </w:tcPr>
          <w:p>
            <w:pPr>
              <w:spacing w:after="0"/>
              <w:rPr>
                <w:sz w:val="12"/>
                <w:szCs w:val="12"/>
                <w:color w:val="auto"/>
              </w:rPr>
            </w:pPr>
          </w:p>
        </w:tc>
        <w:tc>
          <w:tcPr>
            <w:tcW w:w="1180" w:type="dxa"/>
            <w:vAlign w:val="bottom"/>
            <w:gridSpan w:val="2"/>
            <w:shd w:val="clear" w:color="auto" w:fill="DDDDDD"/>
          </w:tcPr>
          <w:p>
            <w:pPr>
              <w:jc w:val="right"/>
              <w:ind w:right="60"/>
              <w:spacing w:after="0" w:line="149" w:lineRule="exact"/>
              <w:rPr>
                <w:sz w:val="20"/>
                <w:szCs w:val="20"/>
                <w:color w:val="auto"/>
              </w:rPr>
            </w:pPr>
            <w:r>
              <w:rPr>
                <w:rFonts w:ascii="Arial" w:cs="Arial" w:eastAsia="Arial" w:hAnsi="Arial"/>
                <w:sz w:val="14"/>
                <w:szCs w:val="14"/>
                <w:b w:val="1"/>
                <w:bCs w:val="1"/>
                <w:color w:val="auto"/>
              </w:rPr>
              <w:t>(21,284)</w:t>
            </w:r>
          </w:p>
        </w:tc>
        <w:tc>
          <w:tcPr>
            <w:tcW w:w="6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(20,046)</w:t>
            </w:r>
          </w:p>
        </w:tc>
        <w:tc>
          <w:tcPr>
            <w:tcW w:w="0" w:type="dxa"/>
            <w:vAlign w:val="bottom"/>
          </w:tcPr>
          <w:p>
            <w:pPr>
              <w:spacing w:after="0"/>
              <w:rPr>
                <w:sz w:val="1"/>
                <w:szCs w:val="1"/>
                <w:color w:val="auto"/>
              </w:rPr>
            </w:pPr>
          </w:p>
        </w:tc>
      </w:tr>
      <w:tr>
        <w:trPr>
          <w:trHeight w:val="148"/>
        </w:trPr>
        <w:tc>
          <w:tcPr>
            <w:tcW w:w="8620" w:type="dxa"/>
            <w:vAlign w:val="bottom"/>
          </w:tcPr>
          <w:p>
            <w:pPr>
              <w:ind w:left="160"/>
              <w:spacing w:after="0" w:line="149" w:lineRule="exact"/>
              <w:rPr>
                <w:sz w:val="20"/>
                <w:szCs w:val="20"/>
                <w:color w:val="auto"/>
              </w:rPr>
            </w:pPr>
            <w:r>
              <w:rPr>
                <w:rFonts w:ascii="Arial" w:cs="Arial" w:eastAsia="Arial" w:hAnsi="Arial"/>
                <w:sz w:val="14"/>
                <w:szCs w:val="14"/>
                <w:color w:val="auto"/>
              </w:rPr>
              <w:t>Earnings attributable to controlling interests</w:t>
            </w:r>
          </w:p>
        </w:tc>
        <w:tc>
          <w:tcPr>
            <w:tcW w:w="120" w:type="dxa"/>
            <w:vAlign w:val="bottom"/>
            <w:shd w:val="clear" w:color="auto" w:fill="DDDDDD"/>
          </w:tcPr>
          <w:p>
            <w:pPr>
              <w:spacing w:after="0"/>
              <w:rPr>
                <w:sz w:val="12"/>
                <w:szCs w:val="12"/>
                <w:color w:val="auto"/>
              </w:rPr>
            </w:pPr>
          </w:p>
        </w:tc>
        <w:tc>
          <w:tcPr>
            <w:tcW w:w="106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1,778</w:t>
            </w:r>
          </w:p>
        </w:tc>
        <w:tc>
          <w:tcPr>
            <w:tcW w:w="120" w:type="dxa"/>
            <w:vAlign w:val="bottom"/>
            <w:shd w:val="clear" w:color="auto" w:fill="DDDDDD"/>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2,364</w:t>
            </w:r>
          </w:p>
        </w:tc>
        <w:tc>
          <w:tcPr>
            <w:tcW w:w="0" w:type="dxa"/>
            <w:vAlign w:val="bottom"/>
          </w:tcPr>
          <w:p>
            <w:pPr>
              <w:spacing w:after="0"/>
              <w:rPr>
                <w:sz w:val="1"/>
                <w:szCs w:val="1"/>
                <w:color w:val="auto"/>
              </w:rPr>
            </w:pPr>
          </w:p>
        </w:tc>
      </w:tr>
      <w:tr>
        <w:trPr>
          <w:trHeight w:val="148"/>
        </w:trPr>
        <w:tc>
          <w:tcPr>
            <w:tcW w:w="8620" w:type="dxa"/>
            <w:vAlign w:val="bottom"/>
          </w:tcPr>
          <w:p>
            <w:pPr>
              <w:ind w:left="160"/>
              <w:spacing w:after="0" w:line="149" w:lineRule="exact"/>
              <w:rPr>
                <w:sz w:val="20"/>
                <w:szCs w:val="20"/>
                <w:color w:val="auto"/>
              </w:rPr>
            </w:pPr>
            <w:r>
              <w:rPr>
                <w:rFonts w:ascii="Arial" w:cs="Arial" w:eastAsia="Arial" w:hAnsi="Arial"/>
                <w:sz w:val="14"/>
                <w:szCs w:val="14"/>
                <w:color w:val="auto"/>
              </w:rPr>
              <w:t>Preference share dividends</w:t>
            </w:r>
          </w:p>
        </w:tc>
        <w:tc>
          <w:tcPr>
            <w:tcW w:w="120" w:type="dxa"/>
            <w:vAlign w:val="bottom"/>
            <w:shd w:val="clear" w:color="auto" w:fill="DDDDDD"/>
          </w:tcPr>
          <w:p>
            <w:pPr>
              <w:spacing w:after="0"/>
              <w:rPr>
                <w:sz w:val="12"/>
                <w:szCs w:val="12"/>
                <w:color w:val="auto"/>
              </w:rPr>
            </w:pPr>
          </w:p>
        </w:tc>
        <w:tc>
          <w:tcPr>
            <w:tcW w:w="106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(107)</w:t>
            </w:r>
          </w:p>
        </w:tc>
        <w:tc>
          <w:tcPr>
            <w:tcW w:w="120" w:type="dxa"/>
            <w:vAlign w:val="bottom"/>
            <w:shd w:val="clear" w:color="auto" w:fill="DDDDDD"/>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1"/>
        </w:trPr>
        <w:tc>
          <w:tcPr>
            <w:tcW w:w="86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Redemption value adjustment attributable to redeemable noncontrolling interest</w:t>
            </w:r>
          </w:p>
        </w:tc>
        <w:tc>
          <w:tcPr>
            <w:tcW w:w="120" w:type="dxa"/>
            <w:vAlign w:val="bottom"/>
            <w:tcBorders>
              <w:bottom w:val="single" w:sz="8" w:color="auto"/>
            </w:tcBorders>
            <w:shd w:val="clear" w:color="auto" w:fill="DDDDDD"/>
          </w:tcPr>
          <w:p>
            <w:pPr>
              <w:spacing w:after="0"/>
              <w:rPr>
                <w:sz w:val="14"/>
                <w:szCs w:val="14"/>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auto"/>
            </w:tcBorders>
            <w:shd w:val="clear" w:color="auto" w:fill="DDDDDD"/>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8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Balance at end of period</w:t>
            </w:r>
          </w:p>
        </w:tc>
        <w:tc>
          <w:tcPr>
            <w:tcW w:w="120" w:type="dxa"/>
            <w:vAlign w:val="bottom"/>
            <w:tcBorders>
              <w:bottom w:val="single" w:sz="8" w:color="auto"/>
            </w:tcBorders>
            <w:shd w:val="clear" w:color="auto" w:fill="DDDDDD"/>
          </w:tcPr>
          <w:p>
            <w:pPr>
              <w:spacing w:after="0"/>
              <w:rPr>
                <w:sz w:val="12"/>
                <w:szCs w:val="12"/>
                <w:color w:val="auto"/>
              </w:rPr>
            </w:pPr>
          </w:p>
        </w:tc>
        <w:tc>
          <w:tcPr>
            <w:tcW w:w="1060" w:type="dxa"/>
            <w:vAlign w:val="bottom"/>
            <w:tcBorders>
              <w:bottom w:val="single" w:sz="8" w:color="auto"/>
            </w:tcBorders>
            <w:shd w:val="clear" w:color="auto" w:fill="DDDDDD"/>
          </w:tcPr>
          <w:p>
            <w:pPr>
              <w:jc w:val="right"/>
              <w:spacing w:after="0" w:line="142" w:lineRule="exact"/>
              <w:rPr>
                <w:sz w:val="20"/>
                <w:szCs w:val="20"/>
                <w:color w:val="auto"/>
              </w:rPr>
            </w:pPr>
            <w:r>
              <w:rPr>
                <w:rFonts w:ascii="Arial" w:cs="Arial" w:eastAsia="Arial" w:hAnsi="Arial"/>
                <w:sz w:val="14"/>
                <w:szCs w:val="14"/>
                <w:b w:val="1"/>
                <w:bCs w:val="1"/>
                <w:color w:val="auto"/>
              </w:rPr>
              <w:t>(19,611)</w:t>
            </w:r>
          </w:p>
        </w:tc>
        <w:tc>
          <w:tcPr>
            <w:tcW w:w="120" w:type="dxa"/>
            <w:vAlign w:val="bottom"/>
            <w:tcBorders>
              <w:bottom w:val="single" w:sz="8" w:color="auto"/>
            </w:tcBorders>
            <w:shd w:val="clear" w:color="auto" w:fill="DDDDDD"/>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(17,785)</w:t>
            </w:r>
          </w:p>
        </w:tc>
        <w:tc>
          <w:tcPr>
            <w:tcW w:w="0" w:type="dxa"/>
            <w:vAlign w:val="bottom"/>
          </w:tcPr>
          <w:p>
            <w:pPr>
              <w:spacing w:after="0"/>
              <w:rPr>
                <w:sz w:val="1"/>
                <w:szCs w:val="1"/>
                <w:color w:val="auto"/>
              </w:rPr>
            </w:pPr>
          </w:p>
        </w:tc>
      </w:tr>
      <w:tr>
        <w:trPr>
          <w:trHeight w:val="133"/>
        </w:trPr>
        <w:tc>
          <w:tcPr>
            <w:tcW w:w="8620" w:type="dxa"/>
            <w:vAlign w:val="bottom"/>
          </w:tcPr>
          <w:p>
            <w:pPr>
              <w:spacing w:after="0" w:line="133" w:lineRule="exact"/>
              <w:rPr>
                <w:sz w:val="20"/>
                <w:szCs w:val="20"/>
                <w:color w:val="auto"/>
              </w:rPr>
            </w:pPr>
            <w:r>
              <w:rPr>
                <w:rFonts w:ascii="Arial" w:cs="Arial" w:eastAsia="Arial" w:hAnsi="Arial"/>
                <w:sz w:val="14"/>
                <w:szCs w:val="14"/>
                <w:color w:val="auto"/>
              </w:rPr>
              <w:t xml:space="preserve">Accumulated other comprehensive income </w:t>
            </w:r>
            <w:r>
              <w:rPr>
                <w:rFonts w:ascii="Arial" w:cs="Arial" w:eastAsia="Arial" w:hAnsi="Arial"/>
                <w:sz w:val="13"/>
                <w:szCs w:val="13"/>
                <w:i w:val="1"/>
                <w:iCs w:val="1"/>
                <w:color w:val="auto"/>
              </w:rPr>
              <w:t>(Note 7)</w:t>
            </w:r>
          </w:p>
        </w:tc>
        <w:tc>
          <w:tcPr>
            <w:tcW w:w="120" w:type="dxa"/>
            <w:vAlign w:val="bottom"/>
            <w:shd w:val="clear" w:color="auto" w:fill="DDDDDD"/>
          </w:tcPr>
          <w:p>
            <w:pPr>
              <w:spacing w:after="0"/>
              <w:rPr>
                <w:sz w:val="11"/>
                <w:szCs w:val="11"/>
                <w:color w:val="auto"/>
              </w:rPr>
            </w:pPr>
          </w:p>
        </w:tc>
        <w:tc>
          <w:tcPr>
            <w:tcW w:w="106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20" w:type="dxa"/>
            <w:vAlign w:val="bottom"/>
          </w:tcPr>
          <w:p>
            <w:pPr>
              <w:ind w:left="160"/>
              <w:spacing w:after="0" w:line="149" w:lineRule="exact"/>
              <w:rPr>
                <w:sz w:val="20"/>
                <w:szCs w:val="20"/>
                <w:color w:val="auto"/>
              </w:rPr>
            </w:pPr>
            <w:r>
              <w:rPr>
                <w:rFonts w:ascii="Arial" w:cs="Arial" w:eastAsia="Arial" w:hAnsi="Arial"/>
                <w:sz w:val="14"/>
                <w:szCs w:val="14"/>
                <w:color w:val="auto"/>
              </w:rPr>
              <w:t>Balance at beginning of period</w:t>
            </w:r>
          </w:p>
        </w:tc>
        <w:tc>
          <w:tcPr>
            <w:tcW w:w="120" w:type="dxa"/>
            <w:vAlign w:val="bottom"/>
            <w:shd w:val="clear" w:color="auto" w:fill="DDDDDD"/>
          </w:tcPr>
          <w:p>
            <w:pPr>
              <w:spacing w:after="0"/>
              <w:rPr>
                <w:sz w:val="12"/>
                <w:szCs w:val="12"/>
                <w:color w:val="auto"/>
              </w:rPr>
            </w:pPr>
          </w:p>
        </w:tc>
        <w:tc>
          <w:tcPr>
            <w:tcW w:w="106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4,681</w:t>
            </w:r>
          </w:p>
        </w:tc>
        <w:tc>
          <w:tcPr>
            <w:tcW w:w="120" w:type="dxa"/>
            <w:vAlign w:val="bottom"/>
            <w:shd w:val="clear" w:color="auto" w:fill="DDDDDD"/>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7,115</w:t>
            </w:r>
          </w:p>
        </w:tc>
        <w:tc>
          <w:tcPr>
            <w:tcW w:w="0" w:type="dxa"/>
            <w:vAlign w:val="bottom"/>
          </w:tcPr>
          <w:p>
            <w:pPr>
              <w:spacing w:after="0"/>
              <w:rPr>
                <w:sz w:val="1"/>
                <w:szCs w:val="1"/>
                <w:color w:val="auto"/>
              </w:rPr>
            </w:pPr>
          </w:p>
        </w:tc>
      </w:tr>
      <w:tr>
        <w:trPr>
          <w:trHeight w:val="171"/>
        </w:trPr>
        <w:tc>
          <w:tcPr>
            <w:tcW w:w="86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Other comprehensive income attributable to common shareholders, net of tax</w:t>
            </w:r>
          </w:p>
        </w:tc>
        <w:tc>
          <w:tcPr>
            <w:tcW w:w="120" w:type="dxa"/>
            <w:vAlign w:val="bottom"/>
            <w:tcBorders>
              <w:bottom w:val="single" w:sz="8" w:color="auto"/>
            </w:tcBorders>
            <w:shd w:val="clear" w:color="auto" w:fill="DDDDDD"/>
          </w:tcPr>
          <w:p>
            <w:pPr>
              <w:spacing w:after="0"/>
              <w:rPr>
                <w:sz w:val="14"/>
                <w:szCs w:val="14"/>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auto"/>
              </w:rPr>
              <w:t>971</w:t>
            </w:r>
          </w:p>
        </w:tc>
        <w:tc>
          <w:tcPr>
            <w:tcW w:w="120" w:type="dxa"/>
            <w:vAlign w:val="bottom"/>
            <w:tcBorders>
              <w:bottom w:val="single" w:sz="8" w:color="auto"/>
            </w:tcBorders>
            <w:shd w:val="clear" w:color="auto" w:fill="DDDDDD"/>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2"/>
        </w:trPr>
        <w:tc>
          <w:tcPr>
            <w:tcW w:w="8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Balance at end of period</w:t>
            </w:r>
          </w:p>
        </w:tc>
        <w:tc>
          <w:tcPr>
            <w:tcW w:w="120" w:type="dxa"/>
            <w:vAlign w:val="bottom"/>
            <w:tcBorders>
              <w:bottom w:val="single" w:sz="8" w:color="auto"/>
            </w:tcBorders>
            <w:shd w:val="clear" w:color="auto" w:fill="DDDDDD"/>
          </w:tcPr>
          <w:p>
            <w:pPr>
              <w:spacing w:after="0"/>
              <w:rPr>
                <w:sz w:val="12"/>
                <w:szCs w:val="12"/>
                <w:color w:val="auto"/>
              </w:rPr>
            </w:pPr>
          </w:p>
        </w:tc>
        <w:tc>
          <w:tcPr>
            <w:tcW w:w="1060" w:type="dxa"/>
            <w:vAlign w:val="bottom"/>
            <w:tcBorders>
              <w:bottom w:val="single" w:sz="8" w:color="auto"/>
            </w:tcBorders>
            <w:shd w:val="clear" w:color="auto" w:fill="DDDDDD"/>
          </w:tcPr>
          <w:p>
            <w:pPr>
              <w:jc w:val="right"/>
              <w:spacing w:after="0" w:line="142" w:lineRule="exact"/>
              <w:rPr>
                <w:sz w:val="20"/>
                <w:szCs w:val="20"/>
                <w:color w:val="auto"/>
              </w:rPr>
            </w:pPr>
            <w:r>
              <w:rPr>
                <w:rFonts w:ascii="Arial" w:cs="Arial" w:eastAsia="Arial" w:hAnsi="Arial"/>
                <w:sz w:val="14"/>
                <w:szCs w:val="14"/>
                <w:b w:val="1"/>
                <w:bCs w:val="1"/>
                <w:color w:val="auto"/>
              </w:rPr>
              <w:t>5,652</w:t>
            </w:r>
          </w:p>
        </w:tc>
        <w:tc>
          <w:tcPr>
            <w:tcW w:w="120" w:type="dxa"/>
            <w:vAlign w:val="bottom"/>
            <w:tcBorders>
              <w:bottom w:val="single" w:sz="8" w:color="auto"/>
            </w:tcBorders>
            <w:shd w:val="clear" w:color="auto" w:fill="DDDDDD"/>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7,188</w:t>
            </w:r>
          </w:p>
        </w:tc>
        <w:tc>
          <w:tcPr>
            <w:tcW w:w="0" w:type="dxa"/>
            <w:vAlign w:val="bottom"/>
          </w:tcPr>
          <w:p>
            <w:pPr>
              <w:spacing w:after="0"/>
              <w:rPr>
                <w:sz w:val="1"/>
                <w:szCs w:val="1"/>
                <w:color w:val="auto"/>
              </w:rPr>
            </w:pPr>
          </w:p>
        </w:tc>
      </w:tr>
      <w:tr>
        <w:trPr>
          <w:trHeight w:val="142"/>
        </w:trPr>
        <w:tc>
          <w:tcPr>
            <w:tcW w:w="8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Enbridge Inc. shareholders' equity</w:t>
            </w:r>
          </w:p>
        </w:tc>
        <w:tc>
          <w:tcPr>
            <w:tcW w:w="120" w:type="dxa"/>
            <w:vAlign w:val="bottom"/>
            <w:tcBorders>
              <w:bottom w:val="single" w:sz="8" w:color="auto"/>
            </w:tcBorders>
            <w:shd w:val="clear" w:color="auto" w:fill="DDDDDD"/>
          </w:tcPr>
          <w:p>
            <w:pPr>
              <w:spacing w:after="0"/>
              <w:rPr>
                <w:sz w:val="12"/>
                <w:szCs w:val="12"/>
                <w:color w:val="auto"/>
              </w:rPr>
            </w:pPr>
          </w:p>
        </w:tc>
        <w:tc>
          <w:tcPr>
            <w:tcW w:w="1060" w:type="dxa"/>
            <w:vAlign w:val="bottom"/>
            <w:tcBorders>
              <w:bottom w:val="single" w:sz="8" w:color="auto"/>
            </w:tcBorders>
            <w:shd w:val="clear" w:color="auto" w:fill="DDDDDD"/>
          </w:tcPr>
          <w:p>
            <w:pPr>
              <w:jc w:val="right"/>
              <w:spacing w:after="0" w:line="142" w:lineRule="exact"/>
              <w:rPr>
                <w:sz w:val="20"/>
                <w:szCs w:val="20"/>
                <w:color w:val="auto"/>
              </w:rPr>
            </w:pPr>
            <w:r>
              <w:rPr>
                <w:rFonts w:ascii="Arial" w:cs="Arial" w:eastAsia="Arial" w:hAnsi="Arial"/>
                <w:sz w:val="14"/>
                <w:szCs w:val="14"/>
                <w:b w:val="1"/>
                <w:bCs w:val="1"/>
                <w:color w:val="auto"/>
              </w:rPr>
              <w:t>64,970</w:t>
            </w:r>
          </w:p>
        </w:tc>
        <w:tc>
          <w:tcPr>
            <w:tcW w:w="120" w:type="dxa"/>
            <w:vAlign w:val="bottom"/>
            <w:tcBorders>
              <w:bottom w:val="single" w:sz="8" w:color="auto"/>
            </w:tcBorders>
            <w:shd w:val="clear" w:color="auto" w:fill="DDDDDD"/>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68,258</w:t>
            </w:r>
          </w:p>
        </w:tc>
        <w:tc>
          <w:tcPr>
            <w:tcW w:w="0" w:type="dxa"/>
            <w:vAlign w:val="bottom"/>
          </w:tcPr>
          <w:p>
            <w:pPr>
              <w:spacing w:after="0"/>
              <w:rPr>
                <w:sz w:val="1"/>
                <w:szCs w:val="1"/>
                <w:color w:val="auto"/>
              </w:rPr>
            </w:pPr>
          </w:p>
        </w:tc>
      </w:tr>
      <w:tr>
        <w:trPr>
          <w:trHeight w:val="119"/>
        </w:trPr>
        <w:tc>
          <w:tcPr>
            <w:tcW w:w="8620" w:type="dxa"/>
            <w:vAlign w:val="bottom"/>
          </w:tcPr>
          <w:p>
            <w:pPr>
              <w:spacing w:after="0" w:line="119" w:lineRule="exact"/>
              <w:rPr>
                <w:sz w:val="20"/>
                <w:szCs w:val="20"/>
                <w:color w:val="auto"/>
              </w:rPr>
            </w:pPr>
            <w:r>
              <w:rPr>
                <w:rFonts w:ascii="Arial" w:cs="Arial" w:eastAsia="Arial" w:hAnsi="Arial"/>
                <w:sz w:val="13"/>
                <w:szCs w:val="13"/>
                <w:color w:val="auto"/>
              </w:rPr>
              <w:t>Noncontrolling interests</w:t>
            </w:r>
          </w:p>
        </w:tc>
        <w:tc>
          <w:tcPr>
            <w:tcW w:w="120" w:type="dxa"/>
            <w:vAlign w:val="bottom"/>
            <w:shd w:val="clear" w:color="auto" w:fill="DDDDDD"/>
          </w:tcPr>
          <w:p>
            <w:pPr>
              <w:spacing w:after="0"/>
              <w:rPr>
                <w:sz w:val="10"/>
                <w:szCs w:val="10"/>
                <w:color w:val="auto"/>
              </w:rPr>
            </w:pPr>
          </w:p>
        </w:tc>
        <w:tc>
          <w:tcPr>
            <w:tcW w:w="1060" w:type="dxa"/>
            <w:vAlign w:val="bottom"/>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620" w:type="dxa"/>
            <w:vAlign w:val="bottom"/>
          </w:tcPr>
          <w:p>
            <w:pPr>
              <w:ind w:left="160"/>
              <w:spacing w:after="0" w:line="149" w:lineRule="exact"/>
              <w:rPr>
                <w:sz w:val="20"/>
                <w:szCs w:val="20"/>
                <w:color w:val="auto"/>
              </w:rPr>
            </w:pPr>
            <w:r>
              <w:rPr>
                <w:rFonts w:ascii="Arial" w:cs="Arial" w:eastAsia="Arial" w:hAnsi="Arial"/>
                <w:sz w:val="14"/>
                <w:szCs w:val="14"/>
                <w:color w:val="auto"/>
              </w:rPr>
              <w:t>Balance at beginning of period</w:t>
            </w:r>
          </w:p>
        </w:tc>
        <w:tc>
          <w:tcPr>
            <w:tcW w:w="120" w:type="dxa"/>
            <w:vAlign w:val="bottom"/>
            <w:shd w:val="clear" w:color="auto" w:fill="DDDDDD"/>
          </w:tcPr>
          <w:p>
            <w:pPr>
              <w:spacing w:after="0"/>
              <w:rPr>
                <w:sz w:val="12"/>
                <w:szCs w:val="12"/>
                <w:color w:val="auto"/>
              </w:rPr>
            </w:pPr>
          </w:p>
        </w:tc>
        <w:tc>
          <w:tcPr>
            <w:tcW w:w="106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2,855</w:t>
            </w:r>
          </w:p>
        </w:tc>
        <w:tc>
          <w:tcPr>
            <w:tcW w:w="120" w:type="dxa"/>
            <w:vAlign w:val="bottom"/>
            <w:shd w:val="clear" w:color="auto" w:fill="DDDDDD"/>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2,993</w:t>
            </w:r>
          </w:p>
        </w:tc>
        <w:tc>
          <w:tcPr>
            <w:tcW w:w="0" w:type="dxa"/>
            <w:vAlign w:val="bottom"/>
          </w:tcPr>
          <w:p>
            <w:pPr>
              <w:spacing w:after="0"/>
              <w:rPr>
                <w:sz w:val="1"/>
                <w:szCs w:val="1"/>
                <w:color w:val="auto"/>
              </w:rPr>
            </w:pPr>
          </w:p>
        </w:tc>
      </w:tr>
      <w:tr>
        <w:trPr>
          <w:trHeight w:val="148"/>
        </w:trPr>
        <w:tc>
          <w:tcPr>
            <w:tcW w:w="8620" w:type="dxa"/>
            <w:vAlign w:val="bottom"/>
          </w:tcPr>
          <w:p>
            <w:pPr>
              <w:ind w:left="160"/>
              <w:spacing w:after="0" w:line="149" w:lineRule="exact"/>
              <w:rPr>
                <w:sz w:val="20"/>
                <w:szCs w:val="20"/>
                <w:color w:val="auto"/>
              </w:rPr>
            </w:pPr>
            <w:r>
              <w:rPr>
                <w:rFonts w:ascii="Arial" w:cs="Arial" w:eastAsia="Arial" w:hAnsi="Arial"/>
                <w:sz w:val="14"/>
                <w:szCs w:val="14"/>
                <w:color w:val="auto"/>
              </w:rPr>
              <w:t>Earnings/(loss) attributable to noncontrolling interests</w:t>
            </w:r>
          </w:p>
        </w:tc>
        <w:tc>
          <w:tcPr>
            <w:tcW w:w="120" w:type="dxa"/>
            <w:vAlign w:val="bottom"/>
            <w:shd w:val="clear" w:color="auto" w:fill="DDDDDD"/>
          </w:tcPr>
          <w:p>
            <w:pPr>
              <w:spacing w:after="0"/>
              <w:rPr>
                <w:sz w:val="12"/>
                <w:szCs w:val="12"/>
                <w:color w:val="auto"/>
              </w:rPr>
            </w:pPr>
          </w:p>
        </w:tc>
        <w:tc>
          <w:tcPr>
            <w:tcW w:w="1180" w:type="dxa"/>
            <w:vAlign w:val="bottom"/>
            <w:gridSpan w:val="2"/>
            <w:shd w:val="clear" w:color="auto" w:fill="DDDDDD"/>
          </w:tcPr>
          <w:p>
            <w:pPr>
              <w:jc w:val="right"/>
              <w:ind w:right="60"/>
              <w:spacing w:after="0" w:line="149" w:lineRule="exact"/>
              <w:rPr>
                <w:sz w:val="20"/>
                <w:szCs w:val="20"/>
                <w:color w:val="auto"/>
              </w:rPr>
            </w:pPr>
            <w:r>
              <w:rPr>
                <w:rFonts w:ascii="Arial" w:cs="Arial" w:eastAsia="Arial" w:hAnsi="Arial"/>
                <w:sz w:val="14"/>
                <w:szCs w:val="14"/>
                <w:b w:val="1"/>
                <w:bCs w:val="1"/>
                <w:color w:val="auto"/>
              </w:rPr>
              <w:t>(13)</w:t>
            </w:r>
          </w:p>
        </w:tc>
        <w:tc>
          <w:tcPr>
            <w:tcW w:w="6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48"/>
        </w:trPr>
        <w:tc>
          <w:tcPr>
            <w:tcW w:w="8620" w:type="dxa"/>
            <w:vAlign w:val="bottom"/>
          </w:tcPr>
          <w:p>
            <w:pPr>
              <w:ind w:left="160"/>
              <w:spacing w:after="0" w:line="149" w:lineRule="exact"/>
              <w:rPr>
                <w:sz w:val="20"/>
                <w:szCs w:val="20"/>
                <w:color w:val="auto"/>
              </w:rPr>
            </w:pPr>
            <w:r>
              <w:rPr>
                <w:rFonts w:ascii="Arial" w:cs="Arial" w:eastAsia="Arial" w:hAnsi="Arial"/>
                <w:sz w:val="14"/>
                <w:szCs w:val="14"/>
                <w:color w:val="auto"/>
              </w:rPr>
              <w:t>Other comprehensive income attributable to noncontrolling interests, net of tax</w:t>
            </w:r>
          </w:p>
        </w:tc>
        <w:tc>
          <w:tcPr>
            <w:tcW w:w="120" w:type="dxa"/>
            <w:vAlign w:val="bottom"/>
            <w:shd w:val="clear" w:color="auto" w:fill="DDDDDD"/>
          </w:tcPr>
          <w:p>
            <w:pPr>
              <w:spacing w:after="0"/>
              <w:rPr>
                <w:sz w:val="12"/>
                <w:szCs w:val="12"/>
                <w:color w:val="auto"/>
              </w:rPr>
            </w:pPr>
          </w:p>
        </w:tc>
        <w:tc>
          <w:tcPr>
            <w:tcW w:w="106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20" w:type="dxa"/>
            <w:vAlign w:val="bottom"/>
          </w:tcPr>
          <w:p>
            <w:pPr>
              <w:ind w:left="240"/>
              <w:spacing w:after="0" w:line="149" w:lineRule="exact"/>
              <w:rPr>
                <w:sz w:val="20"/>
                <w:szCs w:val="20"/>
                <w:color w:val="auto"/>
              </w:rPr>
            </w:pPr>
            <w:r>
              <w:rPr>
                <w:rFonts w:ascii="Arial" w:cs="Arial" w:eastAsia="Arial" w:hAnsi="Arial"/>
                <w:sz w:val="14"/>
                <w:szCs w:val="14"/>
                <w:color w:val="auto"/>
              </w:rPr>
              <w:t>Change in unrealized gain on cash flow hedges</w:t>
            </w:r>
          </w:p>
        </w:tc>
        <w:tc>
          <w:tcPr>
            <w:tcW w:w="120" w:type="dxa"/>
            <w:vAlign w:val="bottom"/>
            <w:shd w:val="clear" w:color="auto" w:fill="DDDDDD"/>
          </w:tcPr>
          <w:p>
            <w:pPr>
              <w:spacing w:after="0"/>
              <w:rPr>
                <w:sz w:val="12"/>
                <w:szCs w:val="12"/>
                <w:color w:val="auto"/>
              </w:rPr>
            </w:pPr>
          </w:p>
        </w:tc>
        <w:tc>
          <w:tcPr>
            <w:tcW w:w="1180" w:type="dxa"/>
            <w:vAlign w:val="bottom"/>
            <w:gridSpan w:val="2"/>
            <w:shd w:val="clear" w:color="auto" w:fill="DDDDDD"/>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1"/>
        </w:trPr>
        <w:tc>
          <w:tcPr>
            <w:tcW w:w="86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Borders>
              <w:bottom w:val="single" w:sz="8" w:color="auto"/>
            </w:tcBorders>
            <w:shd w:val="clear" w:color="auto" w:fill="DDDDDD"/>
          </w:tcPr>
          <w:p>
            <w:pPr>
              <w:spacing w:after="0"/>
              <w:rPr>
                <w:sz w:val="14"/>
                <w:szCs w:val="14"/>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auto"/>
              </w:rPr>
              <w:t>18</w:t>
            </w:r>
          </w:p>
        </w:tc>
        <w:tc>
          <w:tcPr>
            <w:tcW w:w="120" w:type="dxa"/>
            <w:vAlign w:val="bottom"/>
            <w:tcBorders>
              <w:bottom w:val="single" w:sz="8" w:color="auto"/>
            </w:tcBorders>
            <w:shd w:val="clear" w:color="auto" w:fill="DDDDDD"/>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2"/>
        </w:trPr>
        <w:tc>
          <w:tcPr>
            <w:tcW w:w="8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shd w:val="clear" w:color="auto" w:fill="DDDDDD"/>
          </w:tcPr>
          <w:p>
            <w:pPr>
              <w:spacing w:after="0"/>
              <w:rPr>
                <w:sz w:val="12"/>
                <w:szCs w:val="12"/>
                <w:color w:val="auto"/>
              </w:rPr>
            </w:pPr>
          </w:p>
        </w:tc>
        <w:tc>
          <w:tcPr>
            <w:tcW w:w="1060" w:type="dxa"/>
            <w:vAlign w:val="bottom"/>
            <w:tcBorders>
              <w:bottom w:val="single" w:sz="8" w:color="auto"/>
            </w:tcBorders>
            <w:shd w:val="clear" w:color="auto" w:fill="DDDDDD"/>
          </w:tcPr>
          <w:p>
            <w:pPr>
              <w:jc w:val="right"/>
              <w:spacing w:after="0" w:line="142" w:lineRule="exact"/>
              <w:rPr>
                <w:sz w:val="20"/>
                <w:szCs w:val="20"/>
                <w:color w:val="auto"/>
              </w:rPr>
            </w:pPr>
            <w:r>
              <w:rPr>
                <w:rFonts w:ascii="Arial" w:cs="Arial" w:eastAsia="Arial" w:hAnsi="Arial"/>
                <w:sz w:val="14"/>
                <w:szCs w:val="14"/>
                <w:b w:val="1"/>
                <w:bCs w:val="1"/>
                <w:color w:val="auto"/>
              </w:rPr>
              <w:t>18</w:t>
            </w:r>
          </w:p>
        </w:tc>
        <w:tc>
          <w:tcPr>
            <w:tcW w:w="120" w:type="dxa"/>
            <w:vAlign w:val="bottom"/>
            <w:tcBorders>
              <w:bottom w:val="single" w:sz="8" w:color="auto"/>
            </w:tcBorders>
            <w:shd w:val="clear" w:color="auto" w:fill="DDDDDD"/>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19"/>
        </w:trPr>
        <w:tc>
          <w:tcPr>
            <w:tcW w:w="8620" w:type="dxa"/>
            <w:vAlign w:val="bottom"/>
          </w:tcPr>
          <w:p>
            <w:pPr>
              <w:ind w:left="160"/>
              <w:spacing w:after="0" w:line="119" w:lineRule="exact"/>
              <w:rPr>
                <w:sz w:val="20"/>
                <w:szCs w:val="20"/>
                <w:color w:val="auto"/>
              </w:rPr>
            </w:pPr>
            <w:r>
              <w:rPr>
                <w:rFonts w:ascii="Arial" w:cs="Arial" w:eastAsia="Arial" w:hAnsi="Arial"/>
                <w:sz w:val="13"/>
                <w:szCs w:val="13"/>
                <w:color w:val="auto"/>
              </w:rPr>
              <w:t>Comprehensive income attributable to noncontrolling interests</w:t>
            </w:r>
          </w:p>
        </w:tc>
        <w:tc>
          <w:tcPr>
            <w:tcW w:w="120" w:type="dxa"/>
            <w:vAlign w:val="bottom"/>
            <w:shd w:val="clear" w:color="auto" w:fill="DDDDDD"/>
          </w:tcPr>
          <w:p>
            <w:pPr>
              <w:spacing w:after="0"/>
              <w:rPr>
                <w:sz w:val="10"/>
                <w:szCs w:val="10"/>
                <w:color w:val="auto"/>
              </w:rPr>
            </w:pPr>
          </w:p>
        </w:tc>
        <w:tc>
          <w:tcPr>
            <w:tcW w:w="1060" w:type="dxa"/>
            <w:vAlign w:val="bottom"/>
            <w:shd w:val="clear" w:color="auto" w:fill="DDDDDD"/>
          </w:tcPr>
          <w:p>
            <w:pPr>
              <w:jc w:val="right"/>
              <w:spacing w:after="0" w:line="119" w:lineRule="exact"/>
              <w:rPr>
                <w:sz w:val="20"/>
                <w:szCs w:val="20"/>
                <w:color w:val="auto"/>
              </w:rPr>
            </w:pPr>
            <w:r>
              <w:rPr>
                <w:rFonts w:ascii="Arial" w:cs="Arial" w:eastAsia="Arial" w:hAnsi="Arial"/>
                <w:sz w:val="13"/>
                <w:szCs w:val="13"/>
                <w:b w:val="1"/>
                <w:bCs w:val="1"/>
                <w:color w:val="auto"/>
              </w:rPr>
              <w:t>5</w:t>
            </w:r>
          </w:p>
        </w:tc>
        <w:tc>
          <w:tcPr>
            <w:tcW w:w="120" w:type="dxa"/>
            <w:vAlign w:val="bottom"/>
            <w:shd w:val="clear" w:color="auto" w:fill="DDDDDD"/>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jc w:val="right"/>
              <w:ind w:right="48"/>
              <w:spacing w:after="0" w:line="119" w:lineRule="exact"/>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51"/>
        </w:trPr>
        <w:tc>
          <w:tcPr>
            <w:tcW w:w="8620" w:type="dxa"/>
            <w:vAlign w:val="bottom"/>
          </w:tcPr>
          <w:p>
            <w:pPr>
              <w:ind w:left="160"/>
              <w:spacing w:after="0" w:line="149" w:lineRule="exact"/>
              <w:rPr>
                <w:sz w:val="20"/>
                <w:szCs w:val="20"/>
                <w:color w:val="auto"/>
              </w:rPr>
            </w:pPr>
            <w:r>
              <w:rPr>
                <w:rFonts w:ascii="Arial" w:cs="Arial" w:eastAsia="Arial" w:hAnsi="Arial"/>
                <w:sz w:val="14"/>
                <w:szCs w:val="14"/>
                <w:color w:val="auto"/>
              </w:rPr>
              <w:t>Distributions</w:t>
            </w:r>
          </w:p>
        </w:tc>
        <w:tc>
          <w:tcPr>
            <w:tcW w:w="120" w:type="dxa"/>
            <w:vAlign w:val="bottom"/>
            <w:tcBorders>
              <w:bottom w:val="single" w:sz="8" w:color="DDDDDD"/>
            </w:tcBorders>
            <w:shd w:val="clear" w:color="auto" w:fill="DDDDDD"/>
          </w:tcPr>
          <w:p>
            <w:pPr>
              <w:spacing w:after="0"/>
              <w:rPr>
                <w:sz w:val="13"/>
                <w:szCs w:val="13"/>
                <w:color w:val="auto"/>
              </w:rPr>
            </w:pPr>
          </w:p>
        </w:tc>
        <w:tc>
          <w:tcPr>
            <w:tcW w:w="1060" w:type="dxa"/>
            <w:vAlign w:val="bottom"/>
            <w:tcBorders>
              <w:bottom w:val="single" w:sz="8" w:color="DDDDDD"/>
            </w:tcBorders>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(82)</w:t>
            </w:r>
          </w:p>
        </w:tc>
        <w:tc>
          <w:tcPr>
            <w:tcW w:w="120" w:type="dxa"/>
            <w:vAlign w:val="bottom"/>
            <w:tcBorders>
              <w:bottom w:val="single" w:sz="8" w:color="DDDDDD"/>
            </w:tcBorders>
            <w:shd w:val="clear" w:color="auto" w:fill="DDDDDD"/>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26"/>
        </w:trPr>
        <w:tc>
          <w:tcPr>
            <w:tcW w:w="8620" w:type="dxa"/>
            <w:vAlign w:val="bottom"/>
          </w:tcPr>
          <w:p>
            <w:pPr>
              <w:ind w:left="160"/>
              <w:spacing w:after="0" w:line="126" w:lineRule="exact"/>
              <w:rPr>
                <w:sz w:val="20"/>
                <w:szCs w:val="20"/>
                <w:color w:val="auto"/>
              </w:rPr>
            </w:pPr>
            <w:r>
              <w:rPr>
                <w:rFonts w:ascii="Arial" w:cs="Arial" w:eastAsia="Arial" w:hAnsi="Arial"/>
                <w:sz w:val="14"/>
                <w:szCs w:val="14"/>
                <w:color w:val="auto"/>
              </w:rPr>
              <w:t>Contributions</w:t>
            </w:r>
          </w:p>
        </w:tc>
        <w:tc>
          <w:tcPr>
            <w:tcW w:w="120" w:type="dxa"/>
            <w:vAlign w:val="bottom"/>
            <w:shd w:val="clear" w:color="auto" w:fill="DDDDDD"/>
          </w:tcPr>
          <w:p>
            <w:pPr>
              <w:spacing w:after="0"/>
              <w:rPr>
                <w:sz w:val="10"/>
                <w:szCs w:val="10"/>
                <w:color w:val="auto"/>
              </w:rPr>
            </w:pPr>
          </w:p>
        </w:tc>
        <w:tc>
          <w:tcPr>
            <w:tcW w:w="106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jc w:val="right"/>
              <w:ind w:right="48"/>
              <w:spacing w:after="0" w:line="126"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1"/>
        </w:trPr>
        <w:tc>
          <w:tcPr>
            <w:tcW w:w="86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DDDDDD"/>
          </w:tcPr>
          <w:p>
            <w:pPr>
              <w:spacing w:after="0"/>
              <w:rPr>
                <w:sz w:val="14"/>
                <w:szCs w:val="14"/>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w:t>
            </w: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2"/>
        </w:trPr>
        <w:tc>
          <w:tcPr>
            <w:tcW w:w="8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Balance at end of period</w:t>
            </w:r>
          </w:p>
        </w:tc>
        <w:tc>
          <w:tcPr>
            <w:tcW w:w="120" w:type="dxa"/>
            <w:vAlign w:val="bottom"/>
            <w:tcBorders>
              <w:bottom w:val="single" w:sz="8" w:color="auto"/>
            </w:tcBorders>
            <w:shd w:val="clear" w:color="auto" w:fill="DDDDDD"/>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2,782</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3,022</w:t>
            </w:r>
          </w:p>
        </w:tc>
        <w:tc>
          <w:tcPr>
            <w:tcW w:w="0" w:type="dxa"/>
            <w:vAlign w:val="bottom"/>
          </w:tcPr>
          <w:p>
            <w:pPr>
              <w:spacing w:after="0"/>
              <w:rPr>
                <w:sz w:val="1"/>
                <w:szCs w:val="1"/>
                <w:color w:val="auto"/>
              </w:rPr>
            </w:pPr>
          </w:p>
        </w:tc>
      </w:tr>
      <w:tr>
        <w:trPr>
          <w:trHeight w:val="142"/>
        </w:trPr>
        <w:tc>
          <w:tcPr>
            <w:tcW w:w="8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auto"/>
            </w:tcBorders>
            <w:shd w:val="clear" w:color="auto" w:fill="DDDDDD"/>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67,752</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71,280</w:t>
            </w:r>
          </w:p>
        </w:tc>
        <w:tc>
          <w:tcPr>
            <w:tcW w:w="0" w:type="dxa"/>
            <w:vAlign w:val="bottom"/>
          </w:tcPr>
          <w:p>
            <w:pPr>
              <w:spacing w:after="0"/>
              <w:rPr>
                <w:sz w:val="1"/>
                <w:szCs w:val="1"/>
                <w:color w:val="auto"/>
              </w:rPr>
            </w:pPr>
          </w:p>
        </w:tc>
      </w:tr>
      <w:tr>
        <w:trPr>
          <w:trHeight w:val="163"/>
        </w:trPr>
        <w:tc>
          <w:tcPr>
            <w:tcW w:w="8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Dividends paid per common share</w:t>
            </w:r>
          </w:p>
        </w:tc>
        <w:tc>
          <w:tcPr>
            <w:tcW w:w="120" w:type="dxa"/>
            <w:vAlign w:val="bottom"/>
            <w:tcBorders>
              <w:bottom w:val="single" w:sz="8" w:color="auto"/>
            </w:tcBorders>
            <w:shd w:val="clear" w:color="auto" w:fill="DDDDDD"/>
          </w:tcPr>
          <w:p>
            <w:pPr>
              <w:spacing w:after="0"/>
              <w:rPr>
                <w:sz w:val="14"/>
                <w:szCs w:val="14"/>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0.97</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-616585</wp:posOffset>
            </wp:positionV>
            <wp:extent cx="746125" cy="6172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6125" cy="61722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interim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7"/>
          <w:szCs w:val="27"/>
          <w:b w:val="1"/>
          <w:bCs w:val="1"/>
          <w:color w:val="auto"/>
        </w:rPr>
        <w:t>ENBRIDGE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CONSOLIDATED STATEMENTS OF CASH FLOWS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2220" w:type="dxa"/>
            <w:vAlign w:val="bottom"/>
            <w:gridSpan w:val="3"/>
          </w:tcPr>
          <w:p>
            <w:pPr>
              <w:jc w:val="center"/>
              <w:ind w:left="459"/>
              <w:spacing w:after="0"/>
              <w:rPr>
                <w:sz w:val="20"/>
                <w:szCs w:val="20"/>
                <w:color w:val="auto"/>
              </w:rPr>
            </w:pPr>
            <w:r>
              <w:rPr>
                <w:rFonts w:ascii="Arial" w:cs="Arial" w:eastAsia="Arial" w:hAnsi="Arial"/>
                <w:sz w:val="16"/>
                <w:szCs w:val="16"/>
                <w:color w:val="auto"/>
              </w:rPr>
              <w:t>Three months ended</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17"/>
                <w:szCs w:val="17"/>
                <w:color w:val="auto"/>
              </w:rPr>
            </w:pPr>
          </w:p>
        </w:tc>
        <w:tc>
          <w:tcPr>
            <w:tcW w:w="222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6"/>
                <w:szCs w:val="16"/>
                <w:color w:val="auto"/>
              </w:rPr>
              <w:t>March 31,</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41"/>
        </w:trPr>
        <w:tc>
          <w:tcPr>
            <w:tcW w:w="8360" w:type="dxa"/>
            <w:vAlign w:val="bottom"/>
          </w:tcPr>
          <w:p>
            <w:pPr>
              <w:spacing w:after="0" w:line="141" w:lineRule="exact"/>
              <w:rPr>
                <w:sz w:val="20"/>
                <w:szCs w:val="20"/>
                <w:color w:val="auto"/>
              </w:rPr>
            </w:pPr>
            <w:r>
              <w:rPr>
                <w:rFonts w:ascii="Arial" w:cs="Arial" w:eastAsia="Arial" w:hAnsi="Arial"/>
                <w:sz w:val="14"/>
                <w:szCs w:val="14"/>
                <w:i w:val="1"/>
                <w:iCs w:val="1"/>
                <w:color w:val="auto"/>
              </w:rPr>
              <w:t>(unaudited; millions of Canadian dollars)</w:t>
            </w:r>
          </w:p>
        </w:tc>
        <w:tc>
          <w:tcPr>
            <w:tcW w:w="132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360" w:type="dxa"/>
            <w:vAlign w:val="bottom"/>
          </w:tcPr>
          <w:p>
            <w:pPr>
              <w:spacing w:after="0" w:line="175" w:lineRule="exact"/>
              <w:rPr>
                <w:sz w:val="20"/>
                <w:szCs w:val="20"/>
                <w:color w:val="auto"/>
              </w:rPr>
            </w:pPr>
            <w:r>
              <w:rPr>
                <w:rFonts w:ascii="Arial" w:cs="Arial" w:eastAsia="Arial" w:hAnsi="Arial"/>
                <w:sz w:val="16"/>
                <w:szCs w:val="16"/>
                <w:b w:val="1"/>
                <w:bCs w:val="1"/>
                <w:color w:val="auto"/>
              </w:rPr>
              <w:t>Operating activities</w:t>
            </w:r>
          </w:p>
        </w:tc>
        <w:tc>
          <w:tcPr>
            <w:tcW w:w="1320" w:type="dxa"/>
            <w:vAlign w:val="bottom"/>
            <w:vMerge w:val="restart"/>
            <w:shd w:val="clear" w:color="auto" w:fill="DDDDDD"/>
          </w:tcPr>
          <w:p>
            <w:pPr>
              <w:jc w:val="right"/>
              <w:spacing w:after="0"/>
              <w:rPr>
                <w:sz w:val="20"/>
                <w:szCs w:val="20"/>
                <w:color w:val="auto"/>
              </w:rPr>
            </w:pPr>
            <w:r>
              <w:rPr>
                <w:rFonts w:ascii="Arial" w:cs="Arial" w:eastAsia="Arial" w:hAnsi="Arial"/>
                <w:sz w:val="16"/>
                <w:szCs w:val="16"/>
                <w:b w:val="1"/>
                <w:bCs w:val="1"/>
                <w:color w:val="auto"/>
              </w:rPr>
              <w:t>1,778</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60" w:type="dxa"/>
            <w:vAlign w:val="bottom"/>
          </w:tcPr>
          <w:p>
            <w:pPr>
              <w:ind w:left="160"/>
              <w:spacing w:after="0" w:line="175" w:lineRule="exact"/>
              <w:rPr>
                <w:sz w:val="20"/>
                <w:szCs w:val="20"/>
                <w:color w:val="auto"/>
              </w:rPr>
            </w:pPr>
            <w:r>
              <w:rPr>
                <w:rFonts w:ascii="Arial" w:cs="Arial" w:eastAsia="Arial" w:hAnsi="Arial"/>
                <w:sz w:val="16"/>
                <w:szCs w:val="16"/>
                <w:color w:val="auto"/>
              </w:rPr>
              <w:t>Earnings</w:t>
            </w:r>
          </w:p>
        </w:tc>
        <w:tc>
          <w:tcPr>
            <w:tcW w:w="1320" w:type="dxa"/>
            <w:vAlign w:val="bottom"/>
            <w:vMerge w:val="continue"/>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ind w:right="39"/>
              <w:spacing w:after="0" w:line="175" w:lineRule="exact"/>
              <w:rPr>
                <w:sz w:val="20"/>
                <w:szCs w:val="20"/>
                <w:color w:val="auto"/>
              </w:rPr>
            </w:pPr>
            <w:r>
              <w:rPr>
                <w:rFonts w:ascii="Arial" w:cs="Arial" w:eastAsia="Arial" w:hAnsi="Arial"/>
                <w:sz w:val="16"/>
                <w:szCs w:val="16"/>
                <w:color w:val="auto"/>
              </w:rPr>
              <w:t>2,490</w:t>
            </w:r>
          </w:p>
        </w:tc>
        <w:tc>
          <w:tcPr>
            <w:tcW w:w="0" w:type="dxa"/>
            <w:vAlign w:val="bottom"/>
          </w:tcPr>
          <w:p>
            <w:pPr>
              <w:spacing w:after="0"/>
              <w:rPr>
                <w:sz w:val="1"/>
                <w:szCs w:val="1"/>
                <w:color w:val="auto"/>
              </w:rPr>
            </w:pPr>
          </w:p>
        </w:tc>
      </w:tr>
      <w:tr>
        <w:trPr>
          <w:trHeight w:val="175"/>
        </w:trPr>
        <w:tc>
          <w:tcPr>
            <w:tcW w:w="8360" w:type="dxa"/>
            <w:vAlign w:val="bottom"/>
          </w:tcPr>
          <w:p>
            <w:pPr>
              <w:ind w:left="160"/>
              <w:spacing w:after="0" w:line="175" w:lineRule="exact"/>
              <w:rPr>
                <w:sz w:val="20"/>
                <w:szCs w:val="20"/>
                <w:color w:val="auto"/>
              </w:rPr>
            </w:pPr>
            <w:r>
              <w:rPr>
                <w:rFonts w:ascii="Arial" w:cs="Arial" w:eastAsia="Arial" w:hAnsi="Arial"/>
                <w:sz w:val="16"/>
                <w:szCs w:val="16"/>
                <w:color w:val="auto"/>
              </w:rPr>
              <w:t>Adjustments to reconcile earnings to net cash provided by operating activities:</w:t>
            </w:r>
          </w:p>
        </w:tc>
        <w:tc>
          <w:tcPr>
            <w:tcW w:w="13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60" w:type="dxa"/>
            <w:vAlign w:val="bottom"/>
          </w:tcPr>
          <w:p>
            <w:pPr>
              <w:ind w:left="240"/>
              <w:spacing w:after="0" w:line="175" w:lineRule="exact"/>
              <w:rPr>
                <w:sz w:val="20"/>
                <w:szCs w:val="20"/>
                <w:color w:val="auto"/>
              </w:rPr>
            </w:pPr>
            <w:r>
              <w:rPr>
                <w:rFonts w:ascii="Arial" w:cs="Arial" w:eastAsia="Arial" w:hAnsi="Arial"/>
                <w:sz w:val="16"/>
                <w:szCs w:val="16"/>
                <w:color w:val="auto"/>
              </w:rPr>
              <w:t>Depreciation and amortization</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1,433</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ind w:right="39"/>
              <w:spacing w:after="0" w:line="175" w:lineRule="exact"/>
              <w:rPr>
                <w:sz w:val="20"/>
                <w:szCs w:val="20"/>
                <w:color w:val="auto"/>
              </w:rPr>
            </w:pPr>
            <w:r>
              <w:rPr>
                <w:rFonts w:ascii="Arial" w:cs="Arial" w:eastAsia="Arial" w:hAnsi="Arial"/>
                <w:sz w:val="16"/>
                <w:szCs w:val="16"/>
                <w:color w:val="auto"/>
              </w:rPr>
              <w:t>1,408</w:t>
            </w:r>
          </w:p>
        </w:tc>
        <w:tc>
          <w:tcPr>
            <w:tcW w:w="0" w:type="dxa"/>
            <w:vAlign w:val="bottom"/>
          </w:tcPr>
          <w:p>
            <w:pPr>
              <w:spacing w:after="0"/>
              <w:rPr>
                <w:sz w:val="1"/>
                <w:szCs w:val="1"/>
                <w:color w:val="auto"/>
              </w:rPr>
            </w:pPr>
          </w:p>
        </w:tc>
      </w:tr>
      <w:tr>
        <w:trPr>
          <w:trHeight w:val="176"/>
        </w:trPr>
        <w:tc>
          <w:tcPr>
            <w:tcW w:w="8360" w:type="dxa"/>
            <w:vAlign w:val="bottom"/>
          </w:tcPr>
          <w:p>
            <w:pPr>
              <w:ind w:left="240"/>
              <w:spacing w:after="0" w:line="175" w:lineRule="exact"/>
              <w:rPr>
                <w:sz w:val="20"/>
                <w:szCs w:val="20"/>
                <w:color w:val="auto"/>
              </w:rPr>
            </w:pPr>
            <w:r>
              <w:rPr>
                <w:rFonts w:ascii="Arial" w:cs="Arial" w:eastAsia="Arial" w:hAnsi="Arial"/>
                <w:sz w:val="16"/>
                <w:szCs w:val="16"/>
                <w:color w:val="auto"/>
              </w:rPr>
              <w:t>Deferred income tax expense</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271</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ind w:right="39"/>
              <w:spacing w:after="0" w:line="175" w:lineRule="exact"/>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175"/>
        </w:trPr>
        <w:tc>
          <w:tcPr>
            <w:tcW w:w="8360" w:type="dxa"/>
            <w:vAlign w:val="bottom"/>
          </w:tcPr>
          <w:p>
            <w:pPr>
              <w:ind w:left="240"/>
              <w:spacing w:after="0" w:line="175" w:lineRule="exact"/>
              <w:rPr>
                <w:sz w:val="20"/>
                <w:szCs w:val="20"/>
                <w:color w:val="auto"/>
              </w:rPr>
            </w:pPr>
            <w:r>
              <w:rPr>
                <w:rFonts w:ascii="Arial" w:cs="Arial" w:eastAsia="Arial" w:hAnsi="Arial"/>
                <w:sz w:val="16"/>
                <w:szCs w:val="16"/>
                <w:color w:val="auto"/>
              </w:rPr>
              <w:t>Unrealized derivative fair value (gain)/loss, net</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893</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76"/>
        </w:trPr>
        <w:tc>
          <w:tcPr>
            <w:tcW w:w="8360" w:type="dxa"/>
            <w:vAlign w:val="bottom"/>
          </w:tcPr>
          <w:p>
            <w:pPr>
              <w:ind w:left="240"/>
              <w:spacing w:after="0" w:line="175" w:lineRule="exact"/>
              <w:rPr>
                <w:sz w:val="20"/>
                <w:szCs w:val="20"/>
                <w:color w:val="auto"/>
              </w:rPr>
            </w:pPr>
            <w:r>
              <w:rPr>
                <w:rFonts w:ascii="Arial" w:cs="Arial" w:eastAsia="Arial" w:hAnsi="Arial"/>
                <w:sz w:val="16"/>
                <w:szCs w:val="16"/>
                <w:color w:val="auto"/>
              </w:rPr>
              <w:t>Income from equity investments</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(541)</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175"/>
        </w:trPr>
        <w:tc>
          <w:tcPr>
            <w:tcW w:w="8360" w:type="dxa"/>
            <w:vAlign w:val="bottom"/>
          </w:tcPr>
          <w:p>
            <w:pPr>
              <w:ind w:left="240"/>
              <w:spacing w:after="0" w:line="175" w:lineRule="exact"/>
              <w:rPr>
                <w:sz w:val="20"/>
                <w:szCs w:val="20"/>
                <w:color w:val="auto"/>
              </w:rPr>
            </w:pPr>
            <w:r>
              <w:rPr>
                <w:rFonts w:ascii="Arial" w:cs="Arial" w:eastAsia="Arial" w:hAnsi="Arial"/>
                <w:sz w:val="16"/>
                <w:szCs w:val="16"/>
                <w:color w:val="auto"/>
              </w:rPr>
              <w:t>Distributions from equity investments</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462</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ind w:right="39"/>
              <w:spacing w:after="0" w:line="175" w:lineRule="exact"/>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176"/>
        </w:trPr>
        <w:tc>
          <w:tcPr>
            <w:tcW w:w="8360" w:type="dxa"/>
            <w:vAlign w:val="bottom"/>
          </w:tcPr>
          <w:p>
            <w:pPr>
              <w:ind w:left="240"/>
              <w:spacing w:after="0" w:line="175" w:lineRule="exact"/>
              <w:rPr>
                <w:sz w:val="20"/>
                <w:szCs w:val="20"/>
                <w:color w:val="auto"/>
              </w:rPr>
            </w:pPr>
            <w:r>
              <w:rPr>
                <w:rFonts w:ascii="Arial" w:cs="Arial" w:eastAsia="Arial" w:hAnsi="Arial"/>
                <w:sz w:val="16"/>
                <w:szCs w:val="16"/>
                <w:color w:val="auto"/>
              </w:rPr>
              <w:t>Other</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(33)</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ind w:right="39"/>
              <w:spacing w:after="0" w:line="175"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3"/>
        </w:trPr>
        <w:tc>
          <w:tcPr>
            <w:tcW w:w="83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Changes in operating assets and liabilities</w:t>
            </w: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(1,921)</w:t>
            </w:r>
          </w:p>
        </w:tc>
        <w:tc>
          <w:tcPr>
            <w:tcW w:w="100" w:type="dxa"/>
            <w:vAlign w:val="bottom"/>
            <w:tcBorders>
              <w:bottom w:val="single" w:sz="8" w:color="auto"/>
            </w:tcBorders>
            <w:shd w:val="clear" w:color="auto" w:fill="DDDDDD"/>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0" w:type="dxa"/>
            <w:vAlign w:val="bottom"/>
          </w:tcPr>
          <w:p>
            <w:pPr>
              <w:spacing w:after="0"/>
              <w:rPr>
                <w:sz w:val="1"/>
                <w:szCs w:val="1"/>
                <w:color w:val="auto"/>
              </w:rPr>
            </w:pPr>
          </w:p>
        </w:tc>
      </w:tr>
      <w:tr>
        <w:trPr>
          <w:trHeight w:val="169"/>
        </w:trPr>
        <w:tc>
          <w:tcPr>
            <w:tcW w:w="836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color w:val="auto"/>
              </w:rPr>
              <w:t>Net cash provided by operating activities</w:t>
            </w:r>
          </w:p>
        </w:tc>
        <w:tc>
          <w:tcPr>
            <w:tcW w:w="1320" w:type="dxa"/>
            <w:vAlign w:val="bottom"/>
            <w:tcBorders>
              <w:bottom w:val="single" w:sz="8" w:color="auto"/>
            </w:tcBorders>
            <w:shd w:val="clear" w:color="auto" w:fill="DDDDDD"/>
          </w:tcPr>
          <w:p>
            <w:pPr>
              <w:jc w:val="right"/>
              <w:spacing w:after="0" w:line="169" w:lineRule="exact"/>
              <w:rPr>
                <w:sz w:val="20"/>
                <w:szCs w:val="20"/>
                <w:color w:val="auto"/>
              </w:rPr>
            </w:pPr>
            <w:r>
              <w:rPr>
                <w:rFonts w:ascii="Arial" w:cs="Arial" w:eastAsia="Arial" w:hAnsi="Arial"/>
                <w:sz w:val="16"/>
                <w:szCs w:val="16"/>
                <w:b w:val="1"/>
                <w:bCs w:val="1"/>
                <w:color w:val="auto"/>
              </w:rPr>
              <w:t>2,342</w:t>
            </w:r>
          </w:p>
        </w:tc>
        <w:tc>
          <w:tcPr>
            <w:tcW w:w="100" w:type="dxa"/>
            <w:vAlign w:val="bottom"/>
            <w:tcBorders>
              <w:bottom w:val="single" w:sz="8" w:color="auto"/>
            </w:tcBorders>
            <w:shd w:val="clear" w:color="auto" w:fill="DDDDDD"/>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3,053</w:t>
            </w:r>
          </w:p>
        </w:tc>
        <w:tc>
          <w:tcPr>
            <w:tcW w:w="0" w:type="dxa"/>
            <w:vAlign w:val="bottom"/>
          </w:tcPr>
          <w:p>
            <w:pPr>
              <w:spacing w:after="0"/>
              <w:rPr>
                <w:sz w:val="1"/>
                <w:szCs w:val="1"/>
                <w:color w:val="auto"/>
              </w:rPr>
            </w:pPr>
          </w:p>
        </w:tc>
      </w:tr>
      <w:tr>
        <w:trPr>
          <w:trHeight w:val="141"/>
        </w:trPr>
        <w:tc>
          <w:tcPr>
            <w:tcW w:w="8360" w:type="dxa"/>
            <w:vAlign w:val="bottom"/>
          </w:tcPr>
          <w:p>
            <w:pPr>
              <w:spacing w:after="0" w:line="142" w:lineRule="exact"/>
              <w:rPr>
                <w:sz w:val="20"/>
                <w:szCs w:val="20"/>
                <w:color w:val="auto"/>
              </w:rPr>
            </w:pPr>
            <w:r>
              <w:rPr>
                <w:rFonts w:ascii="Arial" w:cs="Arial" w:eastAsia="Arial" w:hAnsi="Arial"/>
                <w:sz w:val="16"/>
                <w:szCs w:val="16"/>
                <w:b w:val="1"/>
                <w:bCs w:val="1"/>
                <w:color w:val="auto"/>
              </w:rPr>
              <w:t>Investing activities</w:t>
            </w:r>
          </w:p>
        </w:tc>
        <w:tc>
          <w:tcPr>
            <w:tcW w:w="132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360" w:type="dxa"/>
            <w:vAlign w:val="bottom"/>
          </w:tcPr>
          <w:p>
            <w:pPr>
              <w:ind w:left="160"/>
              <w:spacing w:after="0" w:line="175" w:lineRule="exact"/>
              <w:rPr>
                <w:sz w:val="20"/>
                <w:szCs w:val="20"/>
                <w:color w:val="auto"/>
              </w:rPr>
            </w:pPr>
            <w:r>
              <w:rPr>
                <w:rFonts w:ascii="Arial" w:cs="Arial" w:eastAsia="Arial" w:hAnsi="Arial"/>
                <w:sz w:val="16"/>
                <w:szCs w:val="16"/>
                <w:color w:val="auto"/>
              </w:rPr>
              <w:t>Capital expenditures</w:t>
            </w:r>
          </w:p>
        </w:tc>
        <w:tc>
          <w:tcPr>
            <w:tcW w:w="1420" w:type="dxa"/>
            <w:vAlign w:val="bottom"/>
            <w:gridSpan w:val="2"/>
            <w:shd w:val="clear" w:color="auto" w:fill="DDDDDD"/>
          </w:tcPr>
          <w:p>
            <w:pPr>
              <w:jc w:val="right"/>
              <w:ind w:right="60"/>
              <w:spacing w:after="0" w:line="175" w:lineRule="exact"/>
              <w:rPr>
                <w:sz w:val="20"/>
                <w:szCs w:val="20"/>
                <w:color w:val="auto"/>
              </w:rPr>
            </w:pPr>
            <w:r>
              <w:rPr>
                <w:rFonts w:ascii="Arial" w:cs="Arial" w:eastAsia="Arial" w:hAnsi="Arial"/>
                <w:sz w:val="16"/>
                <w:szCs w:val="16"/>
                <w:b w:val="1"/>
                <w:bCs w:val="1"/>
                <w:color w:val="auto"/>
              </w:rPr>
              <w:t>(2,439)</w:t>
            </w:r>
          </w:p>
        </w:tc>
        <w:tc>
          <w:tcPr>
            <w:tcW w:w="800" w:type="dxa"/>
            <w:vAlign w:val="bottom"/>
          </w:tcPr>
          <w:p>
            <w:pPr>
              <w:spacing w:after="0"/>
              <w:rPr>
                <w:sz w:val="15"/>
                <w:szCs w:val="15"/>
                <w:color w:val="auto"/>
              </w:rPr>
            </w:pP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rPr>
              <w:t>(1,723)</w:t>
            </w:r>
          </w:p>
        </w:tc>
        <w:tc>
          <w:tcPr>
            <w:tcW w:w="0" w:type="dxa"/>
            <w:vAlign w:val="bottom"/>
          </w:tcPr>
          <w:p>
            <w:pPr>
              <w:spacing w:after="0"/>
              <w:rPr>
                <w:sz w:val="1"/>
                <w:szCs w:val="1"/>
                <w:color w:val="auto"/>
              </w:rPr>
            </w:pPr>
          </w:p>
        </w:tc>
      </w:tr>
      <w:tr>
        <w:trPr>
          <w:trHeight w:val="175"/>
        </w:trPr>
        <w:tc>
          <w:tcPr>
            <w:tcW w:w="8360" w:type="dxa"/>
            <w:vAlign w:val="bottom"/>
          </w:tcPr>
          <w:p>
            <w:pPr>
              <w:ind w:left="160"/>
              <w:spacing w:after="0" w:line="175" w:lineRule="exact"/>
              <w:rPr>
                <w:sz w:val="20"/>
                <w:szCs w:val="20"/>
                <w:color w:val="auto"/>
              </w:rPr>
            </w:pPr>
            <w:r>
              <w:rPr>
                <w:rFonts w:ascii="Arial" w:cs="Arial" w:eastAsia="Arial" w:hAnsi="Arial"/>
                <w:sz w:val="16"/>
                <w:szCs w:val="16"/>
                <w:color w:val="auto"/>
              </w:rPr>
              <w:t>Long-term, restricted and other investments</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(503)</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176"/>
        </w:trPr>
        <w:tc>
          <w:tcPr>
            <w:tcW w:w="8360" w:type="dxa"/>
            <w:vAlign w:val="bottom"/>
          </w:tcPr>
          <w:p>
            <w:pPr>
              <w:ind w:left="160"/>
              <w:spacing w:after="0" w:line="175" w:lineRule="exact"/>
              <w:rPr>
                <w:sz w:val="20"/>
                <w:szCs w:val="20"/>
                <w:color w:val="auto"/>
              </w:rPr>
            </w:pPr>
            <w:r>
              <w:rPr>
                <w:rFonts w:ascii="Arial" w:cs="Arial" w:eastAsia="Arial" w:hAnsi="Arial"/>
                <w:sz w:val="16"/>
                <w:szCs w:val="16"/>
                <w:color w:val="auto"/>
              </w:rPr>
              <w:t>Distributions from equity investments in excess of cumulative earnings</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213</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ind w:right="39"/>
              <w:spacing w:after="0" w:line="175" w:lineRule="exact"/>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175"/>
        </w:trPr>
        <w:tc>
          <w:tcPr>
            <w:tcW w:w="8360" w:type="dxa"/>
            <w:vAlign w:val="bottom"/>
          </w:tcPr>
          <w:p>
            <w:pPr>
              <w:ind w:left="160"/>
              <w:spacing w:after="0" w:line="175" w:lineRule="exact"/>
              <w:rPr>
                <w:sz w:val="20"/>
                <w:szCs w:val="20"/>
                <w:color w:val="auto"/>
              </w:rPr>
            </w:pPr>
            <w:r>
              <w:rPr>
                <w:rFonts w:ascii="Arial" w:cs="Arial" w:eastAsia="Arial" w:hAnsi="Arial"/>
                <w:sz w:val="16"/>
                <w:szCs w:val="16"/>
                <w:color w:val="auto"/>
              </w:rPr>
              <w:t>Additions to intangible assets</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(76)</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76"/>
        </w:trPr>
        <w:tc>
          <w:tcPr>
            <w:tcW w:w="8360" w:type="dxa"/>
            <w:vAlign w:val="bottom"/>
          </w:tcPr>
          <w:p>
            <w:pPr>
              <w:ind w:left="160"/>
              <w:spacing w:after="0" w:line="175" w:lineRule="exact"/>
              <w:rPr>
                <w:sz w:val="20"/>
                <w:szCs w:val="20"/>
                <w:color w:val="auto"/>
              </w:rPr>
            </w:pPr>
            <w:r>
              <w:rPr>
                <w:rFonts w:ascii="Arial" w:cs="Arial" w:eastAsia="Arial" w:hAnsi="Arial"/>
                <w:sz w:val="16"/>
                <w:szCs w:val="16"/>
                <w:color w:val="auto"/>
              </w:rPr>
              <w:t>Proceeds from disposition of equity investments</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ind w:right="39"/>
              <w:spacing w:after="0" w:line="175" w:lineRule="exact"/>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3"/>
        </w:trPr>
        <w:tc>
          <w:tcPr>
            <w:tcW w:w="83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Other</w:t>
            </w: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Borders>
              <w:bottom w:val="single" w:sz="8" w:color="auto"/>
            </w:tcBorders>
            <w:shd w:val="clear" w:color="auto" w:fill="DDDDDD"/>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69"/>
        </w:trPr>
        <w:tc>
          <w:tcPr>
            <w:tcW w:w="836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color w:val="auto"/>
              </w:rPr>
              <w:t>Net cash used in investing activities</w:t>
            </w:r>
          </w:p>
        </w:tc>
        <w:tc>
          <w:tcPr>
            <w:tcW w:w="1320" w:type="dxa"/>
            <w:vAlign w:val="bottom"/>
            <w:tcBorders>
              <w:bottom w:val="single" w:sz="8" w:color="auto"/>
            </w:tcBorders>
            <w:shd w:val="clear" w:color="auto" w:fill="DDDDDD"/>
          </w:tcPr>
          <w:p>
            <w:pPr>
              <w:jc w:val="right"/>
              <w:spacing w:after="0" w:line="169" w:lineRule="exact"/>
              <w:rPr>
                <w:sz w:val="20"/>
                <w:szCs w:val="20"/>
                <w:color w:val="auto"/>
              </w:rPr>
            </w:pPr>
            <w:r>
              <w:rPr>
                <w:rFonts w:ascii="Arial" w:cs="Arial" w:eastAsia="Arial" w:hAnsi="Arial"/>
                <w:sz w:val="16"/>
                <w:szCs w:val="16"/>
                <w:b w:val="1"/>
                <w:bCs w:val="1"/>
                <w:color w:val="auto"/>
              </w:rPr>
              <w:t>(2,825)</w:t>
            </w:r>
          </w:p>
        </w:tc>
        <w:tc>
          <w:tcPr>
            <w:tcW w:w="100" w:type="dxa"/>
            <w:vAlign w:val="bottom"/>
            <w:tcBorders>
              <w:bottom w:val="single" w:sz="8" w:color="auto"/>
            </w:tcBorders>
            <w:shd w:val="clear" w:color="auto" w:fill="DDDDDD"/>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(1,789)</w:t>
            </w:r>
          </w:p>
        </w:tc>
        <w:tc>
          <w:tcPr>
            <w:tcW w:w="0" w:type="dxa"/>
            <w:vAlign w:val="bottom"/>
          </w:tcPr>
          <w:p>
            <w:pPr>
              <w:spacing w:after="0"/>
              <w:rPr>
                <w:sz w:val="1"/>
                <w:szCs w:val="1"/>
                <w:color w:val="auto"/>
              </w:rPr>
            </w:pPr>
          </w:p>
        </w:tc>
      </w:tr>
      <w:tr>
        <w:trPr>
          <w:trHeight w:val="141"/>
        </w:trPr>
        <w:tc>
          <w:tcPr>
            <w:tcW w:w="8360" w:type="dxa"/>
            <w:vAlign w:val="bottom"/>
          </w:tcPr>
          <w:p>
            <w:pPr>
              <w:spacing w:after="0" w:line="142" w:lineRule="exact"/>
              <w:rPr>
                <w:sz w:val="20"/>
                <w:szCs w:val="20"/>
                <w:color w:val="auto"/>
              </w:rPr>
            </w:pPr>
            <w:r>
              <w:rPr>
                <w:rFonts w:ascii="Arial" w:cs="Arial" w:eastAsia="Arial" w:hAnsi="Arial"/>
                <w:sz w:val="16"/>
                <w:szCs w:val="16"/>
                <w:b w:val="1"/>
                <w:bCs w:val="1"/>
                <w:color w:val="auto"/>
              </w:rPr>
              <w:t>Financing activities</w:t>
            </w:r>
          </w:p>
        </w:tc>
        <w:tc>
          <w:tcPr>
            <w:tcW w:w="132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360" w:type="dxa"/>
            <w:vAlign w:val="bottom"/>
          </w:tcPr>
          <w:p>
            <w:pPr>
              <w:ind w:left="160"/>
              <w:spacing w:after="0" w:line="175" w:lineRule="exact"/>
              <w:rPr>
                <w:sz w:val="20"/>
                <w:szCs w:val="20"/>
                <w:color w:val="auto"/>
              </w:rPr>
            </w:pPr>
            <w:r>
              <w:rPr>
                <w:rFonts w:ascii="Arial" w:cs="Arial" w:eastAsia="Arial" w:hAnsi="Arial"/>
                <w:sz w:val="16"/>
                <w:szCs w:val="16"/>
                <w:color w:val="auto"/>
              </w:rPr>
              <w:t>Net change in short-term borrowings</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458</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ind w:right="39"/>
              <w:spacing w:after="0" w:line="175" w:lineRule="exact"/>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175"/>
        </w:trPr>
        <w:tc>
          <w:tcPr>
            <w:tcW w:w="8360" w:type="dxa"/>
            <w:vAlign w:val="bottom"/>
          </w:tcPr>
          <w:p>
            <w:pPr>
              <w:ind w:left="160"/>
              <w:spacing w:after="0" w:line="175" w:lineRule="exact"/>
              <w:rPr>
                <w:sz w:val="20"/>
                <w:szCs w:val="20"/>
                <w:color w:val="auto"/>
              </w:rPr>
            </w:pPr>
            <w:r>
              <w:rPr>
                <w:rFonts w:ascii="Arial" w:cs="Arial" w:eastAsia="Arial" w:hAnsi="Arial"/>
                <w:sz w:val="16"/>
                <w:szCs w:val="16"/>
                <w:color w:val="auto"/>
              </w:rPr>
              <w:t>Net change in commercial paper and credit facility draws</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(1,692)</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ind w:right="39"/>
              <w:spacing w:after="0" w:line="175" w:lineRule="exact"/>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176"/>
        </w:trPr>
        <w:tc>
          <w:tcPr>
            <w:tcW w:w="8360" w:type="dxa"/>
            <w:vAlign w:val="bottom"/>
          </w:tcPr>
          <w:p>
            <w:pPr>
              <w:ind w:left="160"/>
              <w:spacing w:after="0" w:line="175" w:lineRule="exact"/>
              <w:rPr>
                <w:sz w:val="20"/>
                <w:szCs w:val="20"/>
                <w:color w:val="auto"/>
              </w:rPr>
            </w:pPr>
            <w:r>
              <w:rPr>
                <w:rFonts w:ascii="Arial" w:cs="Arial" w:eastAsia="Arial" w:hAnsi="Arial"/>
                <w:sz w:val="16"/>
                <w:szCs w:val="16"/>
                <w:color w:val="auto"/>
              </w:rPr>
              <w:t>Debenture and term note issues, net of issue costs</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4,746</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ind w:right="39"/>
              <w:spacing w:after="0" w:line="175" w:lineRule="exact"/>
              <w:rPr>
                <w:sz w:val="20"/>
                <w:szCs w:val="20"/>
                <w:color w:val="auto"/>
              </w:rPr>
            </w:pPr>
            <w:r>
              <w:rPr>
                <w:rFonts w:ascii="Arial" w:cs="Arial" w:eastAsia="Arial" w:hAnsi="Arial"/>
                <w:sz w:val="16"/>
                <w:szCs w:val="16"/>
                <w:color w:val="auto"/>
              </w:rPr>
              <w:t>2,777</w:t>
            </w:r>
          </w:p>
        </w:tc>
        <w:tc>
          <w:tcPr>
            <w:tcW w:w="0" w:type="dxa"/>
            <w:vAlign w:val="bottom"/>
          </w:tcPr>
          <w:p>
            <w:pPr>
              <w:spacing w:after="0"/>
              <w:rPr>
                <w:sz w:val="1"/>
                <w:szCs w:val="1"/>
                <w:color w:val="auto"/>
              </w:rPr>
            </w:pPr>
          </w:p>
        </w:tc>
      </w:tr>
      <w:tr>
        <w:trPr>
          <w:trHeight w:val="175"/>
        </w:trPr>
        <w:tc>
          <w:tcPr>
            <w:tcW w:w="8360" w:type="dxa"/>
            <w:vAlign w:val="bottom"/>
          </w:tcPr>
          <w:p>
            <w:pPr>
              <w:ind w:left="160"/>
              <w:spacing w:after="0" w:line="175" w:lineRule="exact"/>
              <w:rPr>
                <w:sz w:val="20"/>
                <w:szCs w:val="20"/>
                <w:color w:val="auto"/>
              </w:rPr>
            </w:pPr>
            <w:r>
              <w:rPr>
                <w:rFonts w:ascii="Arial" w:cs="Arial" w:eastAsia="Arial" w:hAnsi="Arial"/>
                <w:sz w:val="16"/>
                <w:szCs w:val="16"/>
                <w:color w:val="auto"/>
              </w:rPr>
              <w:t>Debenture and term note repayments</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(67)</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rPr>
              <w:t>(2,742)</w:t>
            </w:r>
          </w:p>
        </w:tc>
        <w:tc>
          <w:tcPr>
            <w:tcW w:w="0" w:type="dxa"/>
            <w:vAlign w:val="bottom"/>
          </w:tcPr>
          <w:p>
            <w:pPr>
              <w:spacing w:after="0"/>
              <w:rPr>
                <w:sz w:val="1"/>
                <w:szCs w:val="1"/>
                <w:color w:val="auto"/>
              </w:rPr>
            </w:pPr>
          </w:p>
        </w:tc>
      </w:tr>
      <w:tr>
        <w:trPr>
          <w:trHeight w:val="175"/>
        </w:trPr>
        <w:tc>
          <w:tcPr>
            <w:tcW w:w="8360" w:type="dxa"/>
            <w:vAlign w:val="bottom"/>
          </w:tcPr>
          <w:p>
            <w:pPr>
              <w:ind w:left="160"/>
              <w:spacing w:after="0" w:line="175" w:lineRule="exact"/>
              <w:rPr>
                <w:sz w:val="20"/>
                <w:szCs w:val="20"/>
                <w:color w:val="auto"/>
              </w:rPr>
            </w:pPr>
            <w:r>
              <w:rPr>
                <w:rFonts w:ascii="Arial" w:cs="Arial" w:eastAsia="Arial" w:hAnsi="Arial"/>
                <w:sz w:val="16"/>
                <w:szCs w:val="16"/>
                <w:color w:val="auto"/>
              </w:rPr>
              <w:t>Contributions from noncontrolling interests</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ind w:right="39"/>
              <w:spacing w:after="0" w:line="175"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5"/>
        </w:trPr>
        <w:tc>
          <w:tcPr>
            <w:tcW w:w="8360" w:type="dxa"/>
            <w:vAlign w:val="bottom"/>
          </w:tcPr>
          <w:p>
            <w:pPr>
              <w:ind w:left="160"/>
              <w:spacing w:after="0" w:line="175" w:lineRule="exact"/>
              <w:rPr>
                <w:sz w:val="20"/>
                <w:szCs w:val="20"/>
                <w:color w:val="auto"/>
              </w:rPr>
            </w:pPr>
            <w:r>
              <w:rPr>
                <w:rFonts w:ascii="Arial" w:cs="Arial" w:eastAsia="Arial" w:hAnsi="Arial"/>
                <w:sz w:val="16"/>
                <w:szCs w:val="16"/>
                <w:color w:val="auto"/>
              </w:rPr>
              <w:t>Distributions to noncontrolling interests</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(82)</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75"/>
        </w:trPr>
        <w:tc>
          <w:tcPr>
            <w:tcW w:w="8360" w:type="dxa"/>
            <w:vAlign w:val="bottom"/>
          </w:tcPr>
          <w:p>
            <w:pPr>
              <w:ind w:left="160"/>
              <w:spacing w:after="0" w:line="175" w:lineRule="exact"/>
              <w:rPr>
                <w:sz w:val="20"/>
                <w:szCs w:val="20"/>
                <w:color w:val="auto"/>
              </w:rPr>
            </w:pPr>
            <w:r>
              <w:rPr>
                <w:rFonts w:ascii="Arial" w:cs="Arial" w:eastAsia="Arial" w:hAnsi="Arial"/>
                <w:sz w:val="16"/>
                <w:szCs w:val="16"/>
                <w:color w:val="auto"/>
              </w:rPr>
              <w:t>Contributions from redeemable noncontrolling interest</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8360" w:type="dxa"/>
            <w:vAlign w:val="bottom"/>
          </w:tcPr>
          <w:p>
            <w:pPr>
              <w:ind w:left="160"/>
              <w:spacing w:after="0" w:line="175" w:lineRule="exact"/>
              <w:rPr>
                <w:sz w:val="20"/>
                <w:szCs w:val="20"/>
                <w:color w:val="auto"/>
              </w:rPr>
            </w:pPr>
            <w:r>
              <w:rPr>
                <w:rFonts w:ascii="Arial" w:cs="Arial" w:eastAsia="Arial" w:hAnsi="Arial"/>
                <w:sz w:val="16"/>
                <w:szCs w:val="16"/>
                <w:color w:val="auto"/>
              </w:rPr>
              <w:t>Distributions to redeemable noncontrolling interest</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(17)</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8360" w:type="dxa"/>
            <w:vAlign w:val="bottom"/>
          </w:tcPr>
          <w:p>
            <w:pPr>
              <w:ind w:left="160"/>
              <w:spacing w:after="0" w:line="175" w:lineRule="exact"/>
              <w:rPr>
                <w:sz w:val="20"/>
                <w:szCs w:val="20"/>
                <w:color w:val="auto"/>
              </w:rPr>
            </w:pPr>
            <w:r>
              <w:rPr>
                <w:rFonts w:ascii="Arial" w:cs="Arial" w:eastAsia="Arial" w:hAnsi="Arial"/>
                <w:sz w:val="16"/>
                <w:szCs w:val="16"/>
                <w:color w:val="auto"/>
              </w:rPr>
              <w:t>Common shares issued, net of issue costs</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ind w:right="39"/>
              <w:spacing w:after="0" w:line="175"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5"/>
        </w:trPr>
        <w:tc>
          <w:tcPr>
            <w:tcW w:w="8360" w:type="dxa"/>
            <w:vAlign w:val="bottom"/>
          </w:tcPr>
          <w:p>
            <w:pPr>
              <w:ind w:left="160"/>
              <w:spacing w:after="0" w:line="175" w:lineRule="exact"/>
              <w:rPr>
                <w:sz w:val="20"/>
                <w:szCs w:val="20"/>
                <w:color w:val="auto"/>
              </w:rPr>
            </w:pPr>
            <w:r>
              <w:rPr>
                <w:rFonts w:ascii="Arial" w:cs="Arial" w:eastAsia="Arial" w:hAnsi="Arial"/>
                <w:sz w:val="16"/>
                <w:szCs w:val="16"/>
                <w:color w:val="auto"/>
              </w:rPr>
              <w:t>Preference share dividends</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(107)</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75"/>
        </w:trPr>
        <w:tc>
          <w:tcPr>
            <w:tcW w:w="8360" w:type="dxa"/>
            <w:vAlign w:val="bottom"/>
          </w:tcPr>
          <w:p>
            <w:pPr>
              <w:ind w:left="160"/>
              <w:spacing w:after="0" w:line="175" w:lineRule="exact"/>
              <w:rPr>
                <w:sz w:val="20"/>
                <w:szCs w:val="20"/>
                <w:color w:val="auto"/>
              </w:rPr>
            </w:pPr>
            <w:r>
              <w:rPr>
                <w:rFonts w:ascii="Arial" w:cs="Arial" w:eastAsia="Arial" w:hAnsi="Arial"/>
                <w:sz w:val="16"/>
                <w:szCs w:val="16"/>
                <w:color w:val="auto"/>
              </w:rPr>
              <w:t>Common share dividends</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(2,116)</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rPr>
              <w:t>(2,054)</w:t>
            </w:r>
          </w:p>
        </w:tc>
        <w:tc>
          <w:tcPr>
            <w:tcW w:w="0" w:type="dxa"/>
            <w:vAlign w:val="bottom"/>
          </w:tcPr>
          <w:p>
            <w:pPr>
              <w:spacing w:after="0"/>
              <w:rPr>
                <w:sz w:val="1"/>
                <w:szCs w:val="1"/>
                <w:color w:val="auto"/>
              </w:rPr>
            </w:pPr>
          </w:p>
        </w:tc>
      </w:tr>
      <w:tr>
        <w:trPr>
          <w:trHeight w:val="175"/>
        </w:trPr>
        <w:tc>
          <w:tcPr>
            <w:tcW w:w="8360" w:type="dxa"/>
            <w:vAlign w:val="bottom"/>
          </w:tcPr>
          <w:p>
            <w:pPr>
              <w:ind w:left="160"/>
              <w:spacing w:after="0" w:line="175" w:lineRule="exact"/>
              <w:rPr>
                <w:sz w:val="20"/>
                <w:szCs w:val="20"/>
                <w:color w:val="auto"/>
              </w:rPr>
            </w:pPr>
            <w:r>
              <w:rPr>
                <w:rFonts w:ascii="Arial" w:cs="Arial" w:eastAsia="Arial" w:hAnsi="Arial"/>
                <w:sz w:val="16"/>
                <w:szCs w:val="16"/>
                <w:color w:val="auto"/>
              </w:rPr>
              <w:t>Net change in affiliate loans</w:t>
            </w:r>
          </w:p>
        </w:tc>
        <w:tc>
          <w:tcPr>
            <w:tcW w:w="1320" w:type="dxa"/>
            <w:vAlign w:val="bottom"/>
            <w:shd w:val="clear" w:color="auto" w:fill="DDDDDD"/>
          </w:tcPr>
          <w:p>
            <w:pPr>
              <w:jc w:val="right"/>
              <w:spacing w:after="0" w:line="175" w:lineRule="exact"/>
              <w:rPr>
                <w:sz w:val="20"/>
                <w:szCs w:val="20"/>
                <w:color w:val="auto"/>
              </w:rPr>
            </w:pPr>
            <w:r>
              <w:rPr>
                <w:rFonts w:ascii="Arial" w:cs="Arial" w:eastAsia="Arial" w:hAnsi="Arial"/>
                <w:sz w:val="16"/>
                <w:szCs w:val="16"/>
                <w:b w:val="1"/>
                <w:bCs w:val="1"/>
                <w:color w:val="auto"/>
              </w:rPr>
              <w:t>30</w:t>
            </w:r>
          </w:p>
        </w:tc>
        <w:tc>
          <w:tcPr>
            <w:tcW w:w="100" w:type="dxa"/>
            <w:vAlign w:val="bottom"/>
            <w:shd w:val="clear" w:color="auto" w:fill="DDDDDD"/>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3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Other</w:t>
            </w: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(54)</w:t>
            </w:r>
          </w:p>
        </w:tc>
        <w:tc>
          <w:tcPr>
            <w:tcW w:w="100" w:type="dxa"/>
            <w:vAlign w:val="bottom"/>
            <w:tcBorders>
              <w:bottom w:val="single" w:sz="8" w:color="auto"/>
            </w:tcBorders>
            <w:shd w:val="clear" w:color="auto" w:fill="DDDDDD"/>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69"/>
        </w:trPr>
        <w:tc>
          <w:tcPr>
            <w:tcW w:w="836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color w:val="auto"/>
              </w:rPr>
              <w:t>Net cash provided by/(used in) financing activities</w:t>
            </w:r>
          </w:p>
        </w:tc>
        <w:tc>
          <w:tcPr>
            <w:tcW w:w="1320" w:type="dxa"/>
            <w:vAlign w:val="bottom"/>
            <w:tcBorders>
              <w:bottom w:val="single" w:sz="8" w:color="auto"/>
            </w:tcBorders>
            <w:shd w:val="clear" w:color="auto" w:fill="DDDDDD"/>
          </w:tcPr>
          <w:p>
            <w:pPr>
              <w:jc w:val="right"/>
              <w:spacing w:after="0" w:line="169" w:lineRule="exact"/>
              <w:rPr>
                <w:sz w:val="20"/>
                <w:szCs w:val="20"/>
                <w:color w:val="auto"/>
              </w:rPr>
            </w:pPr>
            <w:r>
              <w:rPr>
                <w:rFonts w:ascii="Arial" w:cs="Arial" w:eastAsia="Arial" w:hAnsi="Arial"/>
                <w:sz w:val="16"/>
                <w:szCs w:val="16"/>
                <w:b w:val="1"/>
                <w:bCs w:val="1"/>
                <w:color w:val="auto"/>
              </w:rPr>
              <w:t>1,111</w:t>
            </w:r>
          </w:p>
        </w:tc>
        <w:tc>
          <w:tcPr>
            <w:tcW w:w="100" w:type="dxa"/>
            <w:vAlign w:val="bottom"/>
            <w:tcBorders>
              <w:bottom w:val="single" w:sz="8" w:color="auto"/>
            </w:tcBorders>
            <w:shd w:val="clear" w:color="auto" w:fill="DDDDDD"/>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169"/>
        </w:trPr>
        <w:tc>
          <w:tcPr>
            <w:tcW w:w="836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color w:val="auto"/>
              </w:rPr>
              <w:t>Effect of translation of foreign denominated cash and cash equivalents and restricted cash</w:t>
            </w:r>
          </w:p>
        </w:tc>
        <w:tc>
          <w:tcPr>
            <w:tcW w:w="1320" w:type="dxa"/>
            <w:vAlign w:val="bottom"/>
            <w:tcBorders>
              <w:bottom w:val="single" w:sz="8" w:color="auto"/>
            </w:tcBorders>
            <w:shd w:val="clear" w:color="auto" w:fill="DDDDDD"/>
          </w:tcPr>
          <w:p>
            <w:pPr>
              <w:jc w:val="right"/>
              <w:spacing w:after="0" w:line="169" w:lineRule="exact"/>
              <w:rPr>
                <w:sz w:val="20"/>
                <w:szCs w:val="20"/>
                <w:color w:val="auto"/>
              </w:rPr>
            </w:pPr>
            <w:r>
              <w:rPr>
                <w:rFonts w:ascii="Arial" w:cs="Arial" w:eastAsia="Arial" w:hAnsi="Arial"/>
                <w:sz w:val="16"/>
                <w:szCs w:val="16"/>
                <w:b w:val="1"/>
                <w:bCs w:val="1"/>
                <w:color w:val="auto"/>
              </w:rPr>
              <w:t>22</w:t>
            </w:r>
          </w:p>
        </w:tc>
        <w:tc>
          <w:tcPr>
            <w:tcW w:w="100" w:type="dxa"/>
            <w:vAlign w:val="bottom"/>
            <w:tcBorders>
              <w:bottom w:val="single" w:sz="8" w:color="auto"/>
            </w:tcBorders>
            <w:shd w:val="clear" w:color="auto" w:fill="DDDDDD"/>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41"/>
        </w:trPr>
        <w:tc>
          <w:tcPr>
            <w:tcW w:w="8360" w:type="dxa"/>
            <w:vAlign w:val="bottom"/>
          </w:tcPr>
          <w:p>
            <w:pPr>
              <w:spacing w:after="0" w:line="142" w:lineRule="exact"/>
              <w:rPr>
                <w:sz w:val="20"/>
                <w:szCs w:val="20"/>
                <w:color w:val="auto"/>
              </w:rPr>
            </w:pPr>
            <w:r>
              <w:rPr>
                <w:rFonts w:ascii="Arial" w:cs="Arial" w:eastAsia="Arial" w:hAnsi="Arial"/>
                <w:sz w:val="16"/>
                <w:szCs w:val="16"/>
                <w:color w:val="auto"/>
              </w:rPr>
              <w:t>Net change in cash and cash equivalents and restricted cash</w:t>
            </w:r>
          </w:p>
        </w:tc>
        <w:tc>
          <w:tcPr>
            <w:tcW w:w="1320" w:type="dxa"/>
            <w:vAlign w:val="bottom"/>
            <w:shd w:val="clear" w:color="auto" w:fill="DDDDDD"/>
          </w:tcPr>
          <w:p>
            <w:pPr>
              <w:jc w:val="right"/>
              <w:spacing w:after="0" w:line="142" w:lineRule="exact"/>
              <w:rPr>
                <w:sz w:val="20"/>
                <w:szCs w:val="20"/>
                <w:color w:val="auto"/>
              </w:rPr>
            </w:pPr>
            <w:r>
              <w:rPr>
                <w:rFonts w:ascii="Arial" w:cs="Arial" w:eastAsia="Arial" w:hAnsi="Arial"/>
                <w:sz w:val="16"/>
                <w:szCs w:val="16"/>
                <w:b w:val="1"/>
                <w:bCs w:val="1"/>
                <w:color w:val="auto"/>
              </w:rPr>
              <w:t>650</w:t>
            </w:r>
          </w:p>
        </w:tc>
        <w:tc>
          <w:tcPr>
            <w:tcW w:w="100" w:type="dxa"/>
            <w:vAlign w:val="bottom"/>
            <w:shd w:val="clear" w:color="auto" w:fill="DDDDDD"/>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jc w:val="right"/>
              <w:ind w:right="39"/>
              <w:spacing w:after="0" w:line="142" w:lineRule="exact"/>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03"/>
        </w:trPr>
        <w:tc>
          <w:tcPr>
            <w:tcW w:w="8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and cash equivalents and restricted cash at beginning of period</w:t>
            </w:r>
            <w:r>
              <w:rPr>
                <w:rFonts w:ascii="Arial" w:cs="Arial" w:eastAsia="Arial" w:hAnsi="Arial"/>
                <w:sz w:val="9"/>
                <w:szCs w:val="9"/>
                <w:color w:val="auto"/>
              </w:rPr>
              <w:t>1</w:t>
            </w: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1,320</w:t>
            </w:r>
          </w:p>
        </w:tc>
        <w:tc>
          <w:tcPr>
            <w:tcW w:w="100" w:type="dxa"/>
            <w:vAlign w:val="bottom"/>
            <w:tcBorders>
              <w:bottom w:val="single" w:sz="8" w:color="auto"/>
            </w:tcBorders>
            <w:shd w:val="clear" w:color="auto" w:fill="DDDDDD"/>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190"/>
        </w:trPr>
        <w:tc>
          <w:tcPr>
            <w:tcW w:w="836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color w:val="auto"/>
              </w:rPr>
              <w:t>Cash and cash equivalents and restricted cash at end of period</w:t>
            </w:r>
            <w:r>
              <w:rPr>
                <w:rFonts w:ascii="Arial" w:cs="Arial" w:eastAsia="Arial" w:hAnsi="Arial"/>
                <w:sz w:val="9"/>
                <w:szCs w:val="9"/>
                <w:color w:val="auto"/>
              </w:rPr>
              <w:t>1</w:t>
            </w:r>
          </w:p>
        </w:tc>
        <w:tc>
          <w:tcPr>
            <w:tcW w:w="1320" w:type="dxa"/>
            <w:vAlign w:val="bottom"/>
            <w:tcBorders>
              <w:bottom w:val="single" w:sz="8" w:color="auto"/>
            </w:tcBorders>
            <w:shd w:val="clear" w:color="auto" w:fill="DDDDDD"/>
          </w:tcPr>
          <w:p>
            <w:pPr>
              <w:jc w:val="right"/>
              <w:spacing w:after="0" w:line="169" w:lineRule="exact"/>
              <w:rPr>
                <w:sz w:val="20"/>
                <w:szCs w:val="20"/>
                <w:color w:val="auto"/>
              </w:rPr>
            </w:pPr>
            <w:r>
              <w:rPr>
                <w:rFonts w:ascii="Arial" w:cs="Arial" w:eastAsia="Arial" w:hAnsi="Arial"/>
                <w:sz w:val="16"/>
                <w:szCs w:val="16"/>
                <w:b w:val="1"/>
                <w:bCs w:val="1"/>
                <w:color w:val="auto"/>
              </w:rPr>
              <w:t>1,970</w:t>
            </w:r>
          </w:p>
        </w:tc>
        <w:tc>
          <w:tcPr>
            <w:tcW w:w="100" w:type="dxa"/>
            <w:vAlign w:val="bottom"/>
            <w:tcBorders>
              <w:bottom w:val="single" w:sz="8" w:color="auto"/>
            </w:tcBorders>
            <w:shd w:val="clear" w:color="auto" w:fill="DDDDDD"/>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2,322</w:t>
            </w:r>
          </w:p>
        </w:tc>
        <w:tc>
          <w:tcPr>
            <w:tcW w:w="0" w:type="dxa"/>
            <w:vAlign w:val="bottom"/>
          </w:tcPr>
          <w:p>
            <w:pPr>
              <w:spacing w:after="0"/>
              <w:rPr>
                <w:sz w:val="1"/>
                <w:szCs w:val="1"/>
                <w:color w:val="auto"/>
              </w:rPr>
            </w:pPr>
          </w:p>
        </w:tc>
      </w:tr>
    </w:tbl>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interim consolidated financial statements.</w:t>
      </w:r>
    </w:p>
    <w:p>
      <w:pPr>
        <w:spacing w:after="0" w:line="177" w:lineRule="exact"/>
        <w:rPr>
          <w:sz w:val="20"/>
          <w:szCs w:val="20"/>
          <w:color w:val="auto"/>
        </w:rPr>
      </w:pPr>
    </w:p>
    <w:p>
      <w:pPr>
        <w:ind w:left="180" w:right="420" w:hanging="172"/>
        <w:spacing w:after="0" w:line="282" w:lineRule="auto"/>
        <w:tabs>
          <w:tab w:leader="none" w:pos="32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As at March 31, 2026 and December 31, 2025, long-term restricted cash of $149 million (March 31, 2025 - $109 million) and $143 million (December 31, 2024 - $105 million), respectively, was included in Restricted long-term investments and cash in the Consolidated Statements of Financial Position.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7"/>
          <w:szCs w:val="27"/>
          <w:b w:val="1"/>
          <w:bCs w:val="1"/>
          <w:color w:val="auto"/>
        </w:rPr>
        <w:t>ENBRIDGE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CONSOLIDATED STATEMENTS OF FINANCIAL POSITION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16"/>
                <w:szCs w:val="16"/>
                <w:color w:val="auto"/>
              </w:rPr>
            </w:pPr>
          </w:p>
        </w:tc>
        <w:tc>
          <w:tcPr>
            <w:tcW w:w="1800" w:type="dxa"/>
            <w:vAlign w:val="bottom"/>
          </w:tcPr>
          <w:p>
            <w:pPr>
              <w:jc w:val="right"/>
              <w:ind w:right="35"/>
              <w:spacing w:after="0"/>
              <w:rPr>
                <w:sz w:val="20"/>
                <w:szCs w:val="20"/>
                <w:color w:val="auto"/>
              </w:rPr>
            </w:pPr>
            <w:r>
              <w:rPr>
                <w:rFonts w:ascii="Arial" w:cs="Arial" w:eastAsia="Arial" w:hAnsi="Arial"/>
                <w:sz w:val="17"/>
                <w:szCs w:val="17"/>
                <w:b w:val="1"/>
                <w:bCs w:val="1"/>
                <w:color w:val="auto"/>
              </w:rPr>
              <w:t>March 31,</w:t>
            </w:r>
          </w:p>
        </w:tc>
        <w:tc>
          <w:tcPr>
            <w:tcW w:w="1840" w:type="dxa"/>
            <w:vAlign w:val="bottom"/>
          </w:tcPr>
          <w:p>
            <w:pPr>
              <w:jc w:val="right"/>
              <w:ind w:right="35"/>
              <w:spacing w:after="0"/>
              <w:rPr>
                <w:sz w:val="20"/>
                <w:szCs w:val="20"/>
                <w:color w:val="auto"/>
              </w:rPr>
            </w:pPr>
            <w:r>
              <w:rPr>
                <w:rFonts w:ascii="Arial" w:cs="Arial" w:eastAsia="Arial" w:hAnsi="Arial"/>
                <w:sz w:val="17"/>
                <w:szCs w:val="17"/>
                <w:color w:val="auto"/>
              </w:rPr>
              <w:t>December 31,</w:t>
            </w:r>
          </w:p>
        </w:tc>
      </w:tr>
      <w:tr>
        <w:trPr>
          <w:trHeight w:val="211"/>
        </w:trPr>
        <w:tc>
          <w:tcPr>
            <w:tcW w:w="76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2026</w:t>
            </w:r>
          </w:p>
        </w:tc>
        <w:tc>
          <w:tcPr>
            <w:tcW w:w="1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2025</w:t>
            </w:r>
          </w:p>
        </w:tc>
      </w:tr>
      <w:tr>
        <w:trPr>
          <w:trHeight w:val="115"/>
        </w:trPr>
        <w:tc>
          <w:tcPr>
            <w:tcW w:w="7600" w:type="dxa"/>
            <w:vAlign w:val="bottom"/>
          </w:tcPr>
          <w:p>
            <w:pPr>
              <w:spacing w:after="0" w:line="115" w:lineRule="exact"/>
              <w:rPr>
                <w:sz w:val="20"/>
                <w:szCs w:val="20"/>
                <w:color w:val="auto"/>
              </w:rPr>
            </w:pPr>
            <w:r>
              <w:rPr>
                <w:rFonts w:ascii="Arial" w:cs="Arial" w:eastAsia="Arial" w:hAnsi="Arial"/>
                <w:sz w:val="13"/>
                <w:szCs w:val="13"/>
                <w:i w:val="1"/>
                <w:iCs w:val="1"/>
                <w:color w:val="auto"/>
              </w:rPr>
              <w:t>(unaudited; millions of Canadian dollars; number of shares in millions)</w:t>
            </w:r>
          </w:p>
        </w:tc>
        <w:tc>
          <w:tcPr>
            <w:tcW w:w="1800" w:type="dxa"/>
            <w:vAlign w:val="bottom"/>
            <w:shd w:val="clear" w:color="auto" w:fill="DDDDDD"/>
          </w:tcPr>
          <w:p>
            <w:pPr>
              <w:spacing w:after="0"/>
              <w:rPr>
                <w:sz w:val="10"/>
                <w:szCs w:val="10"/>
                <w:color w:val="auto"/>
              </w:rPr>
            </w:pPr>
          </w:p>
        </w:tc>
        <w:tc>
          <w:tcPr>
            <w:tcW w:w="1840" w:type="dxa"/>
            <w:vAlign w:val="bottom"/>
          </w:tcPr>
          <w:p>
            <w:pPr>
              <w:spacing w:after="0"/>
              <w:rPr>
                <w:sz w:val="10"/>
                <w:szCs w:val="10"/>
                <w:color w:val="auto"/>
              </w:rPr>
            </w:pPr>
          </w:p>
        </w:tc>
      </w:tr>
      <w:tr>
        <w:trPr>
          <w:trHeight w:val="167"/>
        </w:trPr>
        <w:tc>
          <w:tcPr>
            <w:tcW w:w="7600" w:type="dxa"/>
            <w:vAlign w:val="bottom"/>
          </w:tcPr>
          <w:p>
            <w:pPr>
              <w:spacing w:after="0" w:line="167" w:lineRule="exact"/>
              <w:rPr>
                <w:sz w:val="20"/>
                <w:szCs w:val="20"/>
                <w:color w:val="auto"/>
              </w:rPr>
            </w:pPr>
            <w:r>
              <w:rPr>
                <w:rFonts w:ascii="Arial" w:cs="Arial" w:eastAsia="Arial" w:hAnsi="Arial"/>
                <w:sz w:val="17"/>
                <w:szCs w:val="17"/>
                <w:b w:val="1"/>
                <w:bCs w:val="1"/>
                <w:color w:val="auto"/>
              </w:rPr>
              <w:t>Assets</w:t>
            </w:r>
          </w:p>
        </w:tc>
        <w:tc>
          <w:tcPr>
            <w:tcW w:w="1800" w:type="dxa"/>
            <w:vAlign w:val="bottom"/>
            <w:shd w:val="clear" w:color="auto" w:fill="DDDDDD"/>
          </w:tcPr>
          <w:p>
            <w:pPr>
              <w:spacing w:after="0"/>
              <w:rPr>
                <w:sz w:val="14"/>
                <w:szCs w:val="14"/>
                <w:color w:val="auto"/>
              </w:rPr>
            </w:pPr>
          </w:p>
        </w:tc>
        <w:tc>
          <w:tcPr>
            <w:tcW w:w="1840" w:type="dxa"/>
            <w:vAlign w:val="bottom"/>
          </w:tcPr>
          <w:p>
            <w:pPr>
              <w:spacing w:after="0"/>
              <w:rPr>
                <w:sz w:val="14"/>
                <w:szCs w:val="14"/>
                <w:color w:val="auto"/>
              </w:rPr>
            </w:pPr>
          </w:p>
        </w:tc>
      </w:tr>
      <w:tr>
        <w:trPr>
          <w:trHeight w:val="175"/>
        </w:trPr>
        <w:tc>
          <w:tcPr>
            <w:tcW w:w="7600" w:type="dxa"/>
            <w:vAlign w:val="bottom"/>
          </w:tcPr>
          <w:p>
            <w:pPr>
              <w:spacing w:after="0" w:line="176" w:lineRule="exact"/>
              <w:rPr>
                <w:sz w:val="20"/>
                <w:szCs w:val="20"/>
                <w:color w:val="auto"/>
              </w:rPr>
            </w:pPr>
            <w:r>
              <w:rPr>
                <w:rFonts w:ascii="Arial" w:cs="Arial" w:eastAsia="Arial" w:hAnsi="Arial"/>
                <w:sz w:val="17"/>
                <w:szCs w:val="17"/>
                <w:color w:val="auto"/>
              </w:rPr>
              <w:t>Current assets</w:t>
            </w:r>
          </w:p>
        </w:tc>
        <w:tc>
          <w:tcPr>
            <w:tcW w:w="1800" w:type="dxa"/>
            <w:vAlign w:val="bottom"/>
            <w:shd w:val="clear" w:color="auto" w:fill="DDDDDD"/>
          </w:tcPr>
          <w:p>
            <w:pPr>
              <w:spacing w:after="0"/>
              <w:rPr>
                <w:sz w:val="15"/>
                <w:szCs w:val="15"/>
                <w:color w:val="auto"/>
              </w:rPr>
            </w:pPr>
          </w:p>
        </w:tc>
        <w:tc>
          <w:tcPr>
            <w:tcW w:w="1840" w:type="dxa"/>
            <w:vAlign w:val="bottom"/>
          </w:tcPr>
          <w:p>
            <w:pPr>
              <w:spacing w:after="0"/>
              <w:rPr>
                <w:sz w:val="15"/>
                <w:szCs w:val="15"/>
                <w:color w:val="auto"/>
              </w:rPr>
            </w:pPr>
          </w:p>
        </w:tc>
      </w:tr>
      <w:tr>
        <w:trPr>
          <w:trHeight w:val="176"/>
        </w:trPr>
        <w:tc>
          <w:tcPr>
            <w:tcW w:w="7600" w:type="dxa"/>
            <w:vAlign w:val="bottom"/>
          </w:tcPr>
          <w:p>
            <w:pPr>
              <w:ind w:left="100"/>
              <w:spacing w:after="0" w:line="176" w:lineRule="exact"/>
              <w:rPr>
                <w:sz w:val="20"/>
                <w:szCs w:val="20"/>
                <w:color w:val="auto"/>
              </w:rPr>
            </w:pPr>
            <w:r>
              <w:rPr>
                <w:rFonts w:ascii="Arial" w:cs="Arial" w:eastAsia="Arial" w:hAnsi="Arial"/>
                <w:sz w:val="17"/>
                <w:szCs w:val="17"/>
                <w:color w:val="auto"/>
              </w:rPr>
              <w:t>Cash and cash equivalents</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1,635</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1,094</w:t>
            </w:r>
          </w:p>
        </w:tc>
      </w:tr>
      <w:tr>
        <w:trPr>
          <w:trHeight w:val="175"/>
        </w:trPr>
        <w:tc>
          <w:tcPr>
            <w:tcW w:w="7600" w:type="dxa"/>
            <w:vAlign w:val="bottom"/>
          </w:tcPr>
          <w:p>
            <w:pPr>
              <w:ind w:left="100"/>
              <w:spacing w:after="0" w:line="176" w:lineRule="exact"/>
              <w:rPr>
                <w:sz w:val="20"/>
                <w:szCs w:val="20"/>
                <w:color w:val="auto"/>
              </w:rPr>
            </w:pPr>
            <w:r>
              <w:rPr>
                <w:rFonts w:ascii="Arial" w:cs="Arial" w:eastAsia="Arial" w:hAnsi="Arial"/>
                <w:sz w:val="17"/>
                <w:szCs w:val="17"/>
                <w:color w:val="auto"/>
              </w:rPr>
              <w:t>Restricted cash</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186</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83</w:t>
            </w:r>
          </w:p>
        </w:tc>
      </w:tr>
      <w:tr>
        <w:trPr>
          <w:trHeight w:val="176"/>
        </w:trPr>
        <w:tc>
          <w:tcPr>
            <w:tcW w:w="7600" w:type="dxa"/>
            <w:vAlign w:val="bottom"/>
          </w:tcPr>
          <w:p>
            <w:pPr>
              <w:ind w:left="100"/>
              <w:spacing w:after="0" w:line="176" w:lineRule="exact"/>
              <w:rPr>
                <w:sz w:val="20"/>
                <w:szCs w:val="20"/>
                <w:color w:val="auto"/>
              </w:rPr>
            </w:pPr>
            <w:r>
              <w:rPr>
                <w:rFonts w:ascii="Arial" w:cs="Arial" w:eastAsia="Arial" w:hAnsi="Arial"/>
                <w:sz w:val="17"/>
                <w:szCs w:val="17"/>
                <w:color w:val="auto"/>
              </w:rPr>
              <w:t>Trade receivables and unbilled revenues</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10,440</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7,081</w:t>
            </w:r>
          </w:p>
        </w:tc>
      </w:tr>
      <w:tr>
        <w:trPr>
          <w:trHeight w:val="175"/>
        </w:trPr>
        <w:tc>
          <w:tcPr>
            <w:tcW w:w="7600" w:type="dxa"/>
            <w:vAlign w:val="bottom"/>
          </w:tcPr>
          <w:p>
            <w:pPr>
              <w:ind w:left="100"/>
              <w:spacing w:after="0" w:line="176" w:lineRule="exact"/>
              <w:rPr>
                <w:sz w:val="20"/>
                <w:szCs w:val="20"/>
                <w:color w:val="auto"/>
              </w:rPr>
            </w:pPr>
            <w:r>
              <w:rPr>
                <w:rFonts w:ascii="Arial" w:cs="Arial" w:eastAsia="Arial" w:hAnsi="Arial"/>
                <w:sz w:val="17"/>
                <w:szCs w:val="17"/>
                <w:color w:val="auto"/>
              </w:rPr>
              <w:t>Other current assets</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4,645</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3,230</w:t>
            </w:r>
          </w:p>
        </w:tc>
      </w:tr>
      <w:tr>
        <w:trPr>
          <w:trHeight w:val="176"/>
        </w:trPr>
        <w:tc>
          <w:tcPr>
            <w:tcW w:w="7600" w:type="dxa"/>
            <w:vAlign w:val="bottom"/>
          </w:tcPr>
          <w:p>
            <w:pPr>
              <w:ind w:left="100"/>
              <w:spacing w:after="0" w:line="176" w:lineRule="exact"/>
              <w:rPr>
                <w:sz w:val="20"/>
                <w:szCs w:val="20"/>
                <w:color w:val="auto"/>
              </w:rPr>
            </w:pPr>
            <w:r>
              <w:rPr>
                <w:rFonts w:ascii="Arial" w:cs="Arial" w:eastAsia="Arial" w:hAnsi="Arial"/>
                <w:sz w:val="17"/>
                <w:szCs w:val="17"/>
                <w:color w:val="auto"/>
              </w:rPr>
              <w:t>Accounts receivable from affiliates</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107</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86</w:t>
            </w:r>
          </w:p>
        </w:tc>
      </w:tr>
      <w:tr>
        <w:trPr>
          <w:trHeight w:val="211"/>
        </w:trPr>
        <w:tc>
          <w:tcPr>
            <w:tcW w:w="76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Inventory</w:t>
            </w:r>
          </w:p>
        </w:tc>
        <w:tc>
          <w:tcPr>
            <w:tcW w:w="180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b w:val="1"/>
                <w:bCs w:val="1"/>
                <w:color w:val="auto"/>
              </w:rPr>
              <w:t>1,846</w:t>
            </w:r>
          </w:p>
        </w:tc>
        <w:tc>
          <w:tcPr>
            <w:tcW w:w="1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1,621</w:t>
            </w:r>
          </w:p>
        </w:tc>
      </w:tr>
      <w:tr>
        <w:trPr>
          <w:trHeight w:val="133"/>
        </w:trPr>
        <w:tc>
          <w:tcPr>
            <w:tcW w:w="7600" w:type="dxa"/>
            <w:vAlign w:val="bottom"/>
          </w:tcPr>
          <w:p>
            <w:pPr>
              <w:spacing w:after="0"/>
              <w:rPr>
                <w:sz w:val="11"/>
                <w:szCs w:val="11"/>
                <w:color w:val="auto"/>
              </w:rPr>
            </w:pPr>
          </w:p>
        </w:tc>
        <w:tc>
          <w:tcPr>
            <w:tcW w:w="1800" w:type="dxa"/>
            <w:vAlign w:val="bottom"/>
            <w:shd w:val="clear" w:color="auto" w:fill="DDDDDD"/>
          </w:tcPr>
          <w:p>
            <w:pPr>
              <w:jc w:val="right"/>
              <w:ind w:right="35"/>
              <w:spacing w:after="0" w:line="133" w:lineRule="exact"/>
              <w:rPr>
                <w:sz w:val="20"/>
                <w:szCs w:val="20"/>
                <w:color w:val="auto"/>
              </w:rPr>
            </w:pPr>
            <w:r>
              <w:rPr>
                <w:rFonts w:ascii="Arial" w:cs="Arial" w:eastAsia="Arial" w:hAnsi="Arial"/>
                <w:sz w:val="15"/>
                <w:szCs w:val="15"/>
                <w:b w:val="1"/>
                <w:bCs w:val="1"/>
                <w:color w:val="auto"/>
              </w:rPr>
              <w:t>18,859</w:t>
            </w:r>
          </w:p>
        </w:tc>
        <w:tc>
          <w:tcPr>
            <w:tcW w:w="1840" w:type="dxa"/>
            <w:vAlign w:val="bottom"/>
          </w:tcPr>
          <w:p>
            <w:pPr>
              <w:jc w:val="right"/>
              <w:ind w:right="35"/>
              <w:spacing w:after="0" w:line="133" w:lineRule="exact"/>
              <w:rPr>
                <w:sz w:val="20"/>
                <w:szCs w:val="20"/>
                <w:color w:val="auto"/>
              </w:rPr>
            </w:pPr>
            <w:r>
              <w:rPr>
                <w:rFonts w:ascii="Arial" w:cs="Arial" w:eastAsia="Arial" w:hAnsi="Arial"/>
                <w:sz w:val="15"/>
                <w:szCs w:val="15"/>
                <w:color w:val="auto"/>
              </w:rPr>
              <w:t>13,195</w:t>
            </w:r>
          </w:p>
        </w:tc>
      </w:tr>
      <w:tr>
        <w:trPr>
          <w:trHeight w:val="176"/>
        </w:trPr>
        <w:tc>
          <w:tcPr>
            <w:tcW w:w="7600" w:type="dxa"/>
            <w:vAlign w:val="bottom"/>
          </w:tcPr>
          <w:p>
            <w:pPr>
              <w:spacing w:after="0" w:line="176" w:lineRule="exact"/>
              <w:rPr>
                <w:sz w:val="20"/>
                <w:szCs w:val="20"/>
                <w:color w:val="auto"/>
              </w:rPr>
            </w:pPr>
            <w:r>
              <w:rPr>
                <w:rFonts w:ascii="Arial" w:cs="Arial" w:eastAsia="Arial" w:hAnsi="Arial"/>
                <w:sz w:val="17"/>
                <w:szCs w:val="17"/>
                <w:color w:val="auto"/>
              </w:rPr>
              <w:t>Property, plant and equipment, net</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134,408</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131,598</w:t>
            </w:r>
          </w:p>
        </w:tc>
      </w:tr>
      <w:tr>
        <w:trPr>
          <w:trHeight w:val="176"/>
        </w:trPr>
        <w:tc>
          <w:tcPr>
            <w:tcW w:w="7600" w:type="dxa"/>
            <w:vAlign w:val="bottom"/>
          </w:tcPr>
          <w:p>
            <w:pPr>
              <w:spacing w:after="0" w:line="176" w:lineRule="exact"/>
              <w:rPr>
                <w:sz w:val="20"/>
                <w:szCs w:val="20"/>
                <w:color w:val="auto"/>
              </w:rPr>
            </w:pPr>
            <w:r>
              <w:rPr>
                <w:rFonts w:ascii="Arial" w:cs="Arial" w:eastAsia="Arial" w:hAnsi="Arial"/>
                <w:sz w:val="17"/>
                <w:szCs w:val="17"/>
                <w:color w:val="auto"/>
              </w:rPr>
              <w:t>Long-term investments</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21,955</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21,264</w:t>
            </w:r>
          </w:p>
        </w:tc>
      </w:tr>
      <w:tr>
        <w:trPr>
          <w:trHeight w:val="175"/>
        </w:trPr>
        <w:tc>
          <w:tcPr>
            <w:tcW w:w="7600" w:type="dxa"/>
            <w:vAlign w:val="bottom"/>
          </w:tcPr>
          <w:p>
            <w:pPr>
              <w:spacing w:after="0" w:line="176" w:lineRule="exact"/>
              <w:rPr>
                <w:sz w:val="20"/>
                <w:szCs w:val="20"/>
                <w:color w:val="auto"/>
              </w:rPr>
            </w:pPr>
            <w:r>
              <w:rPr>
                <w:rFonts w:ascii="Arial" w:cs="Arial" w:eastAsia="Arial" w:hAnsi="Arial"/>
                <w:sz w:val="17"/>
                <w:szCs w:val="17"/>
                <w:color w:val="auto"/>
              </w:rPr>
              <w:t xml:space="preserve">Restricted long-term investments and cash </w:t>
            </w:r>
            <w:r>
              <w:rPr>
                <w:rFonts w:ascii="Arial" w:cs="Arial" w:eastAsia="Arial" w:hAnsi="Arial"/>
                <w:sz w:val="14"/>
                <w:szCs w:val="14"/>
                <w:i w:val="1"/>
                <w:iCs w:val="1"/>
                <w:color w:val="auto"/>
              </w:rPr>
              <w:t>(Note 8)</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1,329</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1,293</w:t>
            </w:r>
          </w:p>
        </w:tc>
      </w:tr>
      <w:tr>
        <w:trPr>
          <w:trHeight w:val="176"/>
        </w:trPr>
        <w:tc>
          <w:tcPr>
            <w:tcW w:w="7600" w:type="dxa"/>
            <w:vAlign w:val="bottom"/>
          </w:tcPr>
          <w:p>
            <w:pPr>
              <w:spacing w:after="0" w:line="176" w:lineRule="exact"/>
              <w:rPr>
                <w:sz w:val="20"/>
                <w:szCs w:val="20"/>
                <w:color w:val="auto"/>
              </w:rPr>
            </w:pPr>
            <w:r>
              <w:rPr>
                <w:rFonts w:ascii="Arial" w:cs="Arial" w:eastAsia="Arial" w:hAnsi="Arial"/>
                <w:sz w:val="17"/>
                <w:szCs w:val="17"/>
                <w:color w:val="auto"/>
              </w:rPr>
              <w:t>Deferred amounts and other assets</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11,031</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11,149</w:t>
            </w:r>
          </w:p>
        </w:tc>
      </w:tr>
      <w:tr>
        <w:trPr>
          <w:trHeight w:val="175"/>
        </w:trPr>
        <w:tc>
          <w:tcPr>
            <w:tcW w:w="7600" w:type="dxa"/>
            <w:vAlign w:val="bottom"/>
          </w:tcPr>
          <w:p>
            <w:pPr>
              <w:spacing w:after="0" w:line="176" w:lineRule="exact"/>
              <w:rPr>
                <w:sz w:val="20"/>
                <w:szCs w:val="20"/>
                <w:color w:val="auto"/>
              </w:rPr>
            </w:pPr>
            <w:r>
              <w:rPr>
                <w:rFonts w:ascii="Arial" w:cs="Arial" w:eastAsia="Arial" w:hAnsi="Arial"/>
                <w:sz w:val="17"/>
                <w:szCs w:val="17"/>
                <w:color w:val="auto"/>
              </w:rPr>
              <w:t>Intangible assets, net</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4,003</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3,991</w:t>
            </w:r>
          </w:p>
        </w:tc>
      </w:tr>
      <w:tr>
        <w:trPr>
          <w:trHeight w:val="176"/>
        </w:trPr>
        <w:tc>
          <w:tcPr>
            <w:tcW w:w="7600" w:type="dxa"/>
            <w:vAlign w:val="bottom"/>
          </w:tcPr>
          <w:p>
            <w:pPr>
              <w:spacing w:after="0" w:line="176" w:lineRule="exact"/>
              <w:rPr>
                <w:sz w:val="20"/>
                <w:szCs w:val="20"/>
                <w:color w:val="auto"/>
              </w:rPr>
            </w:pPr>
            <w:r>
              <w:rPr>
                <w:rFonts w:ascii="Arial" w:cs="Arial" w:eastAsia="Arial" w:hAnsi="Arial"/>
                <w:sz w:val="17"/>
                <w:szCs w:val="17"/>
                <w:color w:val="auto"/>
              </w:rPr>
              <w:t>Goodwill</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35,765</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35,284</w:t>
            </w:r>
          </w:p>
        </w:tc>
      </w:tr>
      <w:tr>
        <w:trPr>
          <w:trHeight w:val="211"/>
        </w:trPr>
        <w:tc>
          <w:tcPr>
            <w:tcW w:w="7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Deferred income taxes</w:t>
            </w:r>
          </w:p>
        </w:tc>
        <w:tc>
          <w:tcPr>
            <w:tcW w:w="180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b w:val="1"/>
                <w:bCs w:val="1"/>
                <w:color w:val="auto"/>
              </w:rPr>
              <w:t>851</w:t>
            </w:r>
          </w:p>
        </w:tc>
        <w:tc>
          <w:tcPr>
            <w:tcW w:w="1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701</w:t>
            </w:r>
          </w:p>
        </w:tc>
      </w:tr>
      <w:tr>
        <w:trPr>
          <w:trHeight w:val="169"/>
        </w:trPr>
        <w:tc>
          <w:tcPr>
            <w:tcW w:w="7600" w:type="dxa"/>
            <w:vAlign w:val="bottom"/>
            <w:tcBorders>
              <w:bottom w:val="single" w:sz="8" w:color="auto"/>
            </w:tcBorders>
          </w:tcPr>
          <w:p>
            <w:pPr>
              <w:spacing w:after="0" w:line="169" w:lineRule="exact"/>
              <w:rPr>
                <w:sz w:val="20"/>
                <w:szCs w:val="20"/>
                <w:color w:val="auto"/>
              </w:rPr>
            </w:pPr>
            <w:r>
              <w:rPr>
                <w:rFonts w:ascii="Arial" w:cs="Arial" w:eastAsia="Arial" w:hAnsi="Arial"/>
                <w:sz w:val="17"/>
                <w:szCs w:val="17"/>
                <w:color w:val="auto"/>
              </w:rPr>
              <w:t>Total assets</w:t>
            </w:r>
          </w:p>
        </w:tc>
        <w:tc>
          <w:tcPr>
            <w:tcW w:w="1800" w:type="dxa"/>
            <w:vAlign w:val="bottom"/>
            <w:tcBorders>
              <w:bottom w:val="single" w:sz="8" w:color="auto"/>
            </w:tcBorders>
            <w:shd w:val="clear" w:color="auto" w:fill="DDDDDD"/>
          </w:tcPr>
          <w:p>
            <w:pPr>
              <w:jc w:val="right"/>
              <w:ind w:right="35"/>
              <w:spacing w:after="0" w:line="169" w:lineRule="exact"/>
              <w:rPr>
                <w:sz w:val="20"/>
                <w:szCs w:val="20"/>
                <w:color w:val="auto"/>
              </w:rPr>
            </w:pPr>
            <w:r>
              <w:rPr>
                <w:rFonts w:ascii="Arial" w:cs="Arial" w:eastAsia="Arial" w:hAnsi="Arial"/>
                <w:sz w:val="17"/>
                <w:szCs w:val="17"/>
                <w:b w:val="1"/>
                <w:bCs w:val="1"/>
                <w:color w:val="auto"/>
              </w:rPr>
              <w:t>228,201</w:t>
            </w:r>
          </w:p>
        </w:tc>
        <w:tc>
          <w:tcPr>
            <w:tcW w:w="184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7"/>
                <w:szCs w:val="17"/>
                <w:color w:val="auto"/>
              </w:rPr>
              <w:t>218,475</w:t>
            </w:r>
          </w:p>
        </w:tc>
      </w:tr>
      <w:tr>
        <w:trPr>
          <w:trHeight w:val="309"/>
        </w:trPr>
        <w:tc>
          <w:tcPr>
            <w:tcW w:w="7600" w:type="dxa"/>
            <w:vAlign w:val="bottom"/>
          </w:tcPr>
          <w:p>
            <w:pPr>
              <w:spacing w:after="0"/>
              <w:rPr>
                <w:sz w:val="20"/>
                <w:szCs w:val="20"/>
                <w:color w:val="auto"/>
              </w:rPr>
            </w:pPr>
            <w:r>
              <w:rPr>
                <w:rFonts w:ascii="Arial" w:cs="Arial" w:eastAsia="Arial" w:hAnsi="Arial"/>
                <w:sz w:val="17"/>
                <w:szCs w:val="17"/>
                <w:b w:val="1"/>
                <w:bCs w:val="1"/>
                <w:color w:val="auto"/>
              </w:rPr>
              <w:t>Liabilities and equity</w:t>
            </w:r>
          </w:p>
        </w:tc>
        <w:tc>
          <w:tcPr>
            <w:tcW w:w="1800" w:type="dxa"/>
            <w:vAlign w:val="bottom"/>
            <w:shd w:val="clear" w:color="auto" w:fill="DDDDDD"/>
          </w:tcPr>
          <w:p>
            <w:pPr>
              <w:spacing w:after="0"/>
              <w:rPr>
                <w:sz w:val="24"/>
                <w:szCs w:val="24"/>
                <w:color w:val="auto"/>
              </w:rPr>
            </w:pPr>
          </w:p>
        </w:tc>
        <w:tc>
          <w:tcPr>
            <w:tcW w:w="1840" w:type="dxa"/>
            <w:vAlign w:val="bottom"/>
          </w:tcPr>
          <w:p>
            <w:pPr>
              <w:spacing w:after="0"/>
              <w:rPr>
                <w:sz w:val="24"/>
                <w:szCs w:val="24"/>
                <w:color w:val="auto"/>
              </w:rPr>
            </w:pPr>
          </w:p>
        </w:tc>
      </w:tr>
      <w:tr>
        <w:trPr>
          <w:trHeight w:val="175"/>
        </w:trPr>
        <w:tc>
          <w:tcPr>
            <w:tcW w:w="7600" w:type="dxa"/>
            <w:vAlign w:val="bottom"/>
          </w:tcPr>
          <w:p>
            <w:pPr>
              <w:spacing w:after="0" w:line="176" w:lineRule="exact"/>
              <w:rPr>
                <w:sz w:val="20"/>
                <w:szCs w:val="20"/>
                <w:color w:val="auto"/>
              </w:rPr>
            </w:pPr>
            <w:r>
              <w:rPr>
                <w:rFonts w:ascii="Arial" w:cs="Arial" w:eastAsia="Arial" w:hAnsi="Arial"/>
                <w:sz w:val="17"/>
                <w:szCs w:val="17"/>
                <w:color w:val="auto"/>
              </w:rPr>
              <w:t>Current liabilities</w:t>
            </w:r>
          </w:p>
        </w:tc>
        <w:tc>
          <w:tcPr>
            <w:tcW w:w="1800" w:type="dxa"/>
            <w:vAlign w:val="bottom"/>
            <w:shd w:val="clear" w:color="auto" w:fill="DDDDDD"/>
          </w:tcPr>
          <w:p>
            <w:pPr>
              <w:spacing w:after="0"/>
              <w:rPr>
                <w:sz w:val="15"/>
                <w:szCs w:val="15"/>
                <w:color w:val="auto"/>
              </w:rPr>
            </w:pPr>
          </w:p>
        </w:tc>
        <w:tc>
          <w:tcPr>
            <w:tcW w:w="1840" w:type="dxa"/>
            <w:vAlign w:val="bottom"/>
          </w:tcPr>
          <w:p>
            <w:pPr>
              <w:spacing w:after="0"/>
              <w:rPr>
                <w:sz w:val="15"/>
                <w:szCs w:val="15"/>
                <w:color w:val="auto"/>
              </w:rPr>
            </w:pPr>
          </w:p>
        </w:tc>
      </w:tr>
      <w:tr>
        <w:trPr>
          <w:trHeight w:val="176"/>
        </w:trPr>
        <w:tc>
          <w:tcPr>
            <w:tcW w:w="7600" w:type="dxa"/>
            <w:vAlign w:val="bottom"/>
          </w:tcPr>
          <w:p>
            <w:pPr>
              <w:ind w:left="100"/>
              <w:spacing w:after="0" w:line="176" w:lineRule="exact"/>
              <w:rPr>
                <w:sz w:val="20"/>
                <w:szCs w:val="20"/>
                <w:color w:val="auto"/>
              </w:rPr>
            </w:pPr>
            <w:r>
              <w:rPr>
                <w:rFonts w:ascii="Arial" w:cs="Arial" w:eastAsia="Arial" w:hAnsi="Arial"/>
                <w:sz w:val="17"/>
                <w:szCs w:val="17"/>
                <w:color w:val="auto"/>
              </w:rPr>
              <w:t>Short-term borrowings</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1,488</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1,030</w:t>
            </w:r>
          </w:p>
        </w:tc>
      </w:tr>
      <w:tr>
        <w:trPr>
          <w:trHeight w:val="175"/>
        </w:trPr>
        <w:tc>
          <w:tcPr>
            <w:tcW w:w="7600" w:type="dxa"/>
            <w:vAlign w:val="bottom"/>
          </w:tcPr>
          <w:p>
            <w:pPr>
              <w:ind w:left="100"/>
              <w:spacing w:after="0" w:line="176" w:lineRule="exact"/>
              <w:rPr>
                <w:sz w:val="20"/>
                <w:szCs w:val="20"/>
                <w:color w:val="auto"/>
              </w:rPr>
            </w:pPr>
            <w:r>
              <w:rPr>
                <w:rFonts w:ascii="Arial" w:cs="Arial" w:eastAsia="Arial" w:hAnsi="Arial"/>
                <w:sz w:val="17"/>
                <w:szCs w:val="17"/>
                <w:color w:val="auto"/>
              </w:rPr>
              <w:t>Trade payables and accrued liabilities</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9,811</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7,555</w:t>
            </w:r>
          </w:p>
        </w:tc>
      </w:tr>
      <w:tr>
        <w:trPr>
          <w:trHeight w:val="175"/>
        </w:trPr>
        <w:tc>
          <w:tcPr>
            <w:tcW w:w="7600" w:type="dxa"/>
            <w:vAlign w:val="bottom"/>
          </w:tcPr>
          <w:p>
            <w:pPr>
              <w:ind w:left="100"/>
              <w:spacing w:after="0" w:line="176" w:lineRule="exact"/>
              <w:rPr>
                <w:sz w:val="20"/>
                <w:szCs w:val="20"/>
                <w:color w:val="auto"/>
              </w:rPr>
            </w:pPr>
            <w:r>
              <w:rPr>
                <w:rFonts w:ascii="Arial" w:cs="Arial" w:eastAsia="Arial" w:hAnsi="Arial"/>
                <w:sz w:val="17"/>
                <w:szCs w:val="17"/>
                <w:color w:val="auto"/>
              </w:rPr>
              <w:t>Other current liabilities</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5,721</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6,174</w:t>
            </w:r>
          </w:p>
        </w:tc>
      </w:tr>
      <w:tr>
        <w:trPr>
          <w:trHeight w:val="175"/>
        </w:trPr>
        <w:tc>
          <w:tcPr>
            <w:tcW w:w="7600" w:type="dxa"/>
            <w:vAlign w:val="bottom"/>
          </w:tcPr>
          <w:p>
            <w:pPr>
              <w:ind w:left="100"/>
              <w:spacing w:after="0" w:line="176" w:lineRule="exact"/>
              <w:rPr>
                <w:sz w:val="20"/>
                <w:szCs w:val="20"/>
                <w:color w:val="auto"/>
              </w:rPr>
            </w:pPr>
            <w:r>
              <w:rPr>
                <w:rFonts w:ascii="Arial" w:cs="Arial" w:eastAsia="Arial" w:hAnsi="Arial"/>
                <w:sz w:val="17"/>
                <w:szCs w:val="17"/>
                <w:color w:val="auto"/>
              </w:rPr>
              <w:t>Accounts payable to affiliates</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49</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38</w:t>
            </w:r>
          </w:p>
        </w:tc>
      </w:tr>
      <w:tr>
        <w:trPr>
          <w:trHeight w:val="175"/>
        </w:trPr>
        <w:tc>
          <w:tcPr>
            <w:tcW w:w="7600" w:type="dxa"/>
            <w:vAlign w:val="bottom"/>
          </w:tcPr>
          <w:p>
            <w:pPr>
              <w:ind w:left="100"/>
              <w:spacing w:after="0" w:line="176" w:lineRule="exact"/>
              <w:rPr>
                <w:sz w:val="20"/>
                <w:szCs w:val="20"/>
                <w:color w:val="auto"/>
              </w:rPr>
            </w:pPr>
            <w:r>
              <w:rPr>
                <w:rFonts w:ascii="Arial" w:cs="Arial" w:eastAsia="Arial" w:hAnsi="Arial"/>
                <w:sz w:val="17"/>
                <w:szCs w:val="17"/>
                <w:color w:val="auto"/>
              </w:rPr>
              <w:t>Interest payable</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1,212</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1,176</w:t>
            </w:r>
          </w:p>
        </w:tc>
      </w:tr>
      <w:tr>
        <w:trPr>
          <w:trHeight w:val="211"/>
        </w:trPr>
        <w:tc>
          <w:tcPr>
            <w:tcW w:w="76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Current portion of long-term debt</w:t>
            </w:r>
          </w:p>
        </w:tc>
        <w:tc>
          <w:tcPr>
            <w:tcW w:w="180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b w:val="1"/>
                <w:bCs w:val="1"/>
                <w:color w:val="auto"/>
              </w:rPr>
              <w:t>5,030</w:t>
            </w:r>
          </w:p>
        </w:tc>
        <w:tc>
          <w:tcPr>
            <w:tcW w:w="1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5,031</w:t>
            </w:r>
          </w:p>
        </w:tc>
      </w:tr>
      <w:tr>
        <w:trPr>
          <w:trHeight w:val="133"/>
        </w:trPr>
        <w:tc>
          <w:tcPr>
            <w:tcW w:w="7600" w:type="dxa"/>
            <w:vAlign w:val="bottom"/>
          </w:tcPr>
          <w:p>
            <w:pPr>
              <w:spacing w:after="0"/>
              <w:rPr>
                <w:sz w:val="11"/>
                <w:szCs w:val="11"/>
                <w:color w:val="auto"/>
              </w:rPr>
            </w:pPr>
          </w:p>
        </w:tc>
        <w:tc>
          <w:tcPr>
            <w:tcW w:w="1800" w:type="dxa"/>
            <w:vAlign w:val="bottom"/>
            <w:shd w:val="clear" w:color="auto" w:fill="DDDDDD"/>
          </w:tcPr>
          <w:p>
            <w:pPr>
              <w:jc w:val="right"/>
              <w:ind w:right="35"/>
              <w:spacing w:after="0" w:line="133" w:lineRule="exact"/>
              <w:rPr>
                <w:sz w:val="20"/>
                <w:szCs w:val="20"/>
                <w:color w:val="auto"/>
              </w:rPr>
            </w:pPr>
            <w:r>
              <w:rPr>
                <w:rFonts w:ascii="Arial" w:cs="Arial" w:eastAsia="Arial" w:hAnsi="Arial"/>
                <w:sz w:val="15"/>
                <w:szCs w:val="15"/>
                <w:b w:val="1"/>
                <w:bCs w:val="1"/>
                <w:color w:val="auto"/>
              </w:rPr>
              <w:t>23,311</w:t>
            </w:r>
          </w:p>
        </w:tc>
        <w:tc>
          <w:tcPr>
            <w:tcW w:w="1840" w:type="dxa"/>
            <w:vAlign w:val="bottom"/>
          </w:tcPr>
          <w:p>
            <w:pPr>
              <w:jc w:val="right"/>
              <w:ind w:right="35"/>
              <w:spacing w:after="0" w:line="133" w:lineRule="exact"/>
              <w:rPr>
                <w:sz w:val="20"/>
                <w:szCs w:val="20"/>
                <w:color w:val="auto"/>
              </w:rPr>
            </w:pPr>
            <w:r>
              <w:rPr>
                <w:rFonts w:ascii="Arial" w:cs="Arial" w:eastAsia="Arial" w:hAnsi="Arial"/>
                <w:sz w:val="15"/>
                <w:szCs w:val="15"/>
                <w:color w:val="auto"/>
              </w:rPr>
              <w:t>21,004</w:t>
            </w:r>
          </w:p>
        </w:tc>
      </w:tr>
      <w:tr>
        <w:trPr>
          <w:trHeight w:val="175"/>
        </w:trPr>
        <w:tc>
          <w:tcPr>
            <w:tcW w:w="7600" w:type="dxa"/>
            <w:vAlign w:val="bottom"/>
          </w:tcPr>
          <w:p>
            <w:pPr>
              <w:spacing w:after="0" w:line="176" w:lineRule="exact"/>
              <w:rPr>
                <w:sz w:val="20"/>
                <w:szCs w:val="20"/>
                <w:color w:val="auto"/>
              </w:rPr>
            </w:pPr>
            <w:r>
              <w:rPr>
                <w:rFonts w:ascii="Arial" w:cs="Arial" w:eastAsia="Arial" w:hAnsi="Arial"/>
                <w:sz w:val="17"/>
                <w:szCs w:val="17"/>
                <w:color w:val="auto"/>
              </w:rPr>
              <w:t>Long-term debt</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103,007</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98,963</w:t>
            </w:r>
          </w:p>
        </w:tc>
      </w:tr>
      <w:tr>
        <w:trPr>
          <w:trHeight w:val="175"/>
        </w:trPr>
        <w:tc>
          <w:tcPr>
            <w:tcW w:w="7600" w:type="dxa"/>
            <w:vAlign w:val="bottom"/>
          </w:tcPr>
          <w:p>
            <w:pPr>
              <w:spacing w:after="0" w:line="176" w:lineRule="exact"/>
              <w:rPr>
                <w:sz w:val="20"/>
                <w:szCs w:val="20"/>
                <w:color w:val="auto"/>
              </w:rPr>
            </w:pPr>
            <w:r>
              <w:rPr>
                <w:rFonts w:ascii="Arial" w:cs="Arial" w:eastAsia="Arial" w:hAnsi="Arial"/>
                <w:sz w:val="17"/>
                <w:szCs w:val="17"/>
                <w:color w:val="auto"/>
              </w:rPr>
              <w:t>Other long-term liabilities</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12,383</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12,302</w:t>
            </w:r>
          </w:p>
        </w:tc>
      </w:tr>
      <w:tr>
        <w:trPr>
          <w:trHeight w:val="211"/>
        </w:trPr>
        <w:tc>
          <w:tcPr>
            <w:tcW w:w="7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Deferred income taxes</w:t>
            </w:r>
          </w:p>
        </w:tc>
        <w:tc>
          <w:tcPr>
            <w:tcW w:w="180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b w:val="1"/>
                <w:bCs w:val="1"/>
                <w:color w:val="auto"/>
              </w:rPr>
              <w:t>21,012</w:t>
            </w:r>
          </w:p>
        </w:tc>
        <w:tc>
          <w:tcPr>
            <w:tcW w:w="1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20,282</w:t>
            </w:r>
          </w:p>
        </w:tc>
      </w:tr>
      <w:tr>
        <w:trPr>
          <w:trHeight w:val="169"/>
        </w:trPr>
        <w:tc>
          <w:tcPr>
            <w:tcW w:w="76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shd w:val="clear" w:color="auto" w:fill="DDDDDD"/>
          </w:tcPr>
          <w:p>
            <w:pPr>
              <w:jc w:val="right"/>
              <w:ind w:right="35"/>
              <w:spacing w:after="0" w:line="169" w:lineRule="exact"/>
              <w:rPr>
                <w:sz w:val="20"/>
                <w:szCs w:val="20"/>
                <w:color w:val="auto"/>
              </w:rPr>
            </w:pPr>
            <w:r>
              <w:rPr>
                <w:rFonts w:ascii="Arial" w:cs="Arial" w:eastAsia="Arial" w:hAnsi="Arial"/>
                <w:sz w:val="17"/>
                <w:szCs w:val="17"/>
                <w:b w:val="1"/>
                <w:bCs w:val="1"/>
                <w:color w:val="auto"/>
              </w:rPr>
              <w:t>159,713</w:t>
            </w:r>
          </w:p>
        </w:tc>
        <w:tc>
          <w:tcPr>
            <w:tcW w:w="184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7"/>
                <w:szCs w:val="17"/>
                <w:color w:val="auto"/>
              </w:rPr>
              <w:t>152,551</w:t>
            </w:r>
          </w:p>
        </w:tc>
      </w:tr>
      <w:tr>
        <w:trPr>
          <w:trHeight w:val="133"/>
        </w:trPr>
        <w:tc>
          <w:tcPr>
            <w:tcW w:w="7600" w:type="dxa"/>
            <w:vAlign w:val="bottom"/>
          </w:tcPr>
          <w:p>
            <w:pPr>
              <w:spacing w:after="0" w:line="133" w:lineRule="exact"/>
              <w:rPr>
                <w:sz w:val="20"/>
                <w:szCs w:val="20"/>
                <w:color w:val="auto"/>
              </w:rPr>
            </w:pPr>
            <w:r>
              <w:rPr>
                <w:rFonts w:ascii="Arial" w:cs="Arial" w:eastAsia="Arial" w:hAnsi="Arial"/>
                <w:sz w:val="15"/>
                <w:szCs w:val="15"/>
                <w:color w:val="auto"/>
              </w:rPr>
              <w:t xml:space="preserve">Contingencies </w:t>
            </w:r>
            <w:r>
              <w:rPr>
                <w:rFonts w:ascii="Arial" w:cs="Arial" w:eastAsia="Arial" w:hAnsi="Arial"/>
                <w:sz w:val="12"/>
                <w:szCs w:val="12"/>
                <w:i w:val="1"/>
                <w:iCs w:val="1"/>
                <w:color w:val="auto"/>
              </w:rPr>
              <w:t>(Note 11)</w:t>
            </w:r>
          </w:p>
        </w:tc>
        <w:tc>
          <w:tcPr>
            <w:tcW w:w="1800" w:type="dxa"/>
            <w:vAlign w:val="bottom"/>
            <w:shd w:val="clear" w:color="auto" w:fill="DDDDDD"/>
          </w:tcPr>
          <w:p>
            <w:pPr>
              <w:spacing w:after="0"/>
              <w:rPr>
                <w:sz w:val="11"/>
                <w:szCs w:val="11"/>
                <w:color w:val="auto"/>
              </w:rPr>
            </w:pPr>
          </w:p>
        </w:tc>
        <w:tc>
          <w:tcPr>
            <w:tcW w:w="1840" w:type="dxa"/>
            <w:vAlign w:val="bottom"/>
          </w:tcPr>
          <w:p>
            <w:pPr>
              <w:spacing w:after="0"/>
              <w:rPr>
                <w:sz w:val="11"/>
                <w:szCs w:val="11"/>
                <w:color w:val="auto"/>
              </w:rPr>
            </w:pPr>
          </w:p>
        </w:tc>
      </w:tr>
      <w:tr>
        <w:trPr>
          <w:trHeight w:val="175"/>
        </w:trPr>
        <w:tc>
          <w:tcPr>
            <w:tcW w:w="7600" w:type="dxa"/>
            <w:vAlign w:val="bottom"/>
          </w:tcPr>
          <w:p>
            <w:pPr>
              <w:spacing w:after="0" w:line="176" w:lineRule="exact"/>
              <w:rPr>
                <w:sz w:val="20"/>
                <w:szCs w:val="20"/>
                <w:color w:val="auto"/>
              </w:rPr>
            </w:pPr>
            <w:r>
              <w:rPr>
                <w:rFonts w:ascii="Arial" w:cs="Arial" w:eastAsia="Arial" w:hAnsi="Arial"/>
                <w:sz w:val="17"/>
                <w:szCs w:val="17"/>
                <w:color w:val="auto"/>
              </w:rPr>
              <w:t>Redeemable noncontrolling interest</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736</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736</w:t>
            </w:r>
          </w:p>
        </w:tc>
      </w:tr>
      <w:tr>
        <w:trPr>
          <w:trHeight w:val="175"/>
        </w:trPr>
        <w:tc>
          <w:tcPr>
            <w:tcW w:w="7600" w:type="dxa"/>
            <w:vAlign w:val="bottom"/>
          </w:tcPr>
          <w:p>
            <w:pPr>
              <w:spacing w:after="0" w:line="176" w:lineRule="exact"/>
              <w:rPr>
                <w:sz w:val="20"/>
                <w:szCs w:val="20"/>
                <w:color w:val="auto"/>
              </w:rPr>
            </w:pPr>
            <w:r>
              <w:rPr>
                <w:rFonts w:ascii="Arial" w:cs="Arial" w:eastAsia="Arial" w:hAnsi="Arial"/>
                <w:sz w:val="17"/>
                <w:szCs w:val="17"/>
                <w:color w:val="auto"/>
              </w:rPr>
              <w:t>Equity</w:t>
            </w:r>
          </w:p>
        </w:tc>
        <w:tc>
          <w:tcPr>
            <w:tcW w:w="1800" w:type="dxa"/>
            <w:vAlign w:val="bottom"/>
            <w:shd w:val="clear" w:color="auto" w:fill="DDDDDD"/>
          </w:tcPr>
          <w:p>
            <w:pPr>
              <w:spacing w:after="0"/>
              <w:rPr>
                <w:sz w:val="15"/>
                <w:szCs w:val="15"/>
                <w:color w:val="auto"/>
              </w:rPr>
            </w:pPr>
          </w:p>
        </w:tc>
        <w:tc>
          <w:tcPr>
            <w:tcW w:w="1840" w:type="dxa"/>
            <w:vAlign w:val="bottom"/>
          </w:tcPr>
          <w:p>
            <w:pPr>
              <w:spacing w:after="0"/>
              <w:rPr>
                <w:sz w:val="15"/>
                <w:szCs w:val="15"/>
                <w:color w:val="auto"/>
              </w:rPr>
            </w:pPr>
          </w:p>
        </w:tc>
      </w:tr>
      <w:tr>
        <w:trPr>
          <w:trHeight w:val="175"/>
        </w:trPr>
        <w:tc>
          <w:tcPr>
            <w:tcW w:w="7600" w:type="dxa"/>
            <w:vAlign w:val="bottom"/>
          </w:tcPr>
          <w:p>
            <w:pPr>
              <w:ind w:left="100"/>
              <w:spacing w:after="0" w:line="176" w:lineRule="exact"/>
              <w:rPr>
                <w:sz w:val="20"/>
                <w:szCs w:val="20"/>
                <w:color w:val="auto"/>
              </w:rPr>
            </w:pPr>
            <w:r>
              <w:rPr>
                <w:rFonts w:ascii="Arial" w:cs="Arial" w:eastAsia="Arial" w:hAnsi="Arial"/>
                <w:sz w:val="17"/>
                <w:szCs w:val="17"/>
                <w:color w:val="auto"/>
              </w:rPr>
              <w:t>Share capital</w:t>
            </w:r>
          </w:p>
        </w:tc>
        <w:tc>
          <w:tcPr>
            <w:tcW w:w="1800" w:type="dxa"/>
            <w:vAlign w:val="bottom"/>
            <w:shd w:val="clear" w:color="auto" w:fill="DDDDDD"/>
          </w:tcPr>
          <w:p>
            <w:pPr>
              <w:spacing w:after="0"/>
              <w:rPr>
                <w:sz w:val="15"/>
                <w:szCs w:val="15"/>
                <w:color w:val="auto"/>
              </w:rPr>
            </w:pPr>
          </w:p>
        </w:tc>
        <w:tc>
          <w:tcPr>
            <w:tcW w:w="1840" w:type="dxa"/>
            <w:vAlign w:val="bottom"/>
          </w:tcPr>
          <w:p>
            <w:pPr>
              <w:spacing w:after="0"/>
              <w:rPr>
                <w:sz w:val="15"/>
                <w:szCs w:val="15"/>
                <w:color w:val="auto"/>
              </w:rPr>
            </w:pPr>
          </w:p>
        </w:tc>
      </w:tr>
      <w:tr>
        <w:trPr>
          <w:trHeight w:val="175"/>
        </w:trPr>
        <w:tc>
          <w:tcPr>
            <w:tcW w:w="7600" w:type="dxa"/>
            <w:vAlign w:val="bottom"/>
          </w:tcPr>
          <w:p>
            <w:pPr>
              <w:ind w:left="200"/>
              <w:spacing w:after="0" w:line="176" w:lineRule="exact"/>
              <w:rPr>
                <w:sz w:val="20"/>
                <w:szCs w:val="20"/>
                <w:color w:val="auto"/>
              </w:rPr>
            </w:pPr>
            <w:r>
              <w:rPr>
                <w:rFonts w:ascii="Arial" w:cs="Arial" w:eastAsia="Arial" w:hAnsi="Arial"/>
                <w:sz w:val="17"/>
                <w:szCs w:val="17"/>
                <w:color w:val="auto"/>
              </w:rPr>
              <w:t>Preference shares</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6,818</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6,818</w:t>
            </w:r>
          </w:p>
        </w:tc>
      </w:tr>
      <w:tr>
        <w:trPr>
          <w:trHeight w:val="176"/>
        </w:trPr>
        <w:tc>
          <w:tcPr>
            <w:tcW w:w="7600" w:type="dxa"/>
            <w:vAlign w:val="bottom"/>
          </w:tcPr>
          <w:p>
            <w:pPr>
              <w:ind w:left="200"/>
              <w:spacing w:after="0" w:line="176" w:lineRule="exact"/>
              <w:rPr>
                <w:sz w:val="20"/>
                <w:szCs w:val="20"/>
                <w:color w:val="auto"/>
              </w:rPr>
            </w:pPr>
            <w:r>
              <w:rPr>
                <w:rFonts w:ascii="Arial" w:cs="Arial" w:eastAsia="Arial" w:hAnsi="Arial"/>
                <w:sz w:val="17"/>
                <w:szCs w:val="17"/>
                <w:color w:val="auto"/>
              </w:rPr>
              <w:t xml:space="preserve">Common shares </w:t>
            </w:r>
            <w:r>
              <w:rPr>
                <w:rFonts w:ascii="Arial" w:cs="Arial" w:eastAsia="Arial" w:hAnsi="Arial"/>
                <w:sz w:val="14"/>
                <w:szCs w:val="14"/>
                <w:i w:val="1"/>
                <w:iCs w:val="1"/>
                <w:color w:val="auto"/>
              </w:rPr>
              <w:t>(2,184 and 2,182 outstanding at March 31, 2026 and December 31, 2025, respectively)</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71,943</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71,876</w:t>
            </w:r>
          </w:p>
        </w:tc>
      </w:tr>
      <w:tr>
        <w:trPr>
          <w:trHeight w:val="175"/>
        </w:trPr>
        <w:tc>
          <w:tcPr>
            <w:tcW w:w="7600" w:type="dxa"/>
            <w:vAlign w:val="bottom"/>
          </w:tcPr>
          <w:p>
            <w:pPr>
              <w:ind w:left="100"/>
              <w:spacing w:after="0" w:line="176" w:lineRule="exact"/>
              <w:rPr>
                <w:sz w:val="20"/>
                <w:szCs w:val="20"/>
                <w:color w:val="auto"/>
              </w:rPr>
            </w:pPr>
            <w:r>
              <w:rPr>
                <w:rFonts w:ascii="Arial" w:cs="Arial" w:eastAsia="Arial" w:hAnsi="Arial"/>
                <w:sz w:val="17"/>
                <w:szCs w:val="17"/>
                <w:color w:val="auto"/>
              </w:rPr>
              <w:t>Additional paid-in capital</w:t>
            </w:r>
          </w:p>
        </w:tc>
        <w:tc>
          <w:tcPr>
            <w:tcW w:w="1800" w:type="dxa"/>
            <w:vAlign w:val="bottom"/>
            <w:shd w:val="clear" w:color="auto" w:fill="DDDDDD"/>
          </w:tcPr>
          <w:p>
            <w:pPr>
              <w:jc w:val="right"/>
              <w:ind w:right="35"/>
              <w:spacing w:after="0" w:line="176" w:lineRule="exact"/>
              <w:rPr>
                <w:sz w:val="20"/>
                <w:szCs w:val="20"/>
                <w:color w:val="auto"/>
              </w:rPr>
            </w:pPr>
            <w:r>
              <w:rPr>
                <w:rFonts w:ascii="Arial" w:cs="Arial" w:eastAsia="Arial" w:hAnsi="Arial"/>
                <w:sz w:val="17"/>
                <w:szCs w:val="17"/>
                <w:b w:val="1"/>
                <w:bCs w:val="1"/>
                <w:color w:val="auto"/>
              </w:rPr>
              <w:t>168</w:t>
            </w:r>
          </w:p>
        </w:tc>
        <w:tc>
          <w:tcPr>
            <w:tcW w:w="18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242</w:t>
            </w:r>
          </w:p>
        </w:tc>
      </w:tr>
      <w:tr>
        <w:trPr>
          <w:trHeight w:val="175"/>
        </w:trPr>
        <w:tc>
          <w:tcPr>
            <w:tcW w:w="7600" w:type="dxa"/>
            <w:vAlign w:val="bottom"/>
          </w:tcPr>
          <w:p>
            <w:pPr>
              <w:ind w:left="100"/>
              <w:spacing w:after="0" w:line="176" w:lineRule="exact"/>
              <w:rPr>
                <w:sz w:val="20"/>
                <w:szCs w:val="20"/>
                <w:color w:val="auto"/>
              </w:rPr>
            </w:pPr>
            <w:r>
              <w:rPr>
                <w:rFonts w:ascii="Arial" w:cs="Arial" w:eastAsia="Arial" w:hAnsi="Arial"/>
                <w:sz w:val="17"/>
                <w:szCs w:val="17"/>
                <w:color w:val="auto"/>
              </w:rPr>
              <w:t>Deficit</w:t>
            </w:r>
          </w:p>
        </w:tc>
        <w:tc>
          <w:tcPr>
            <w:tcW w:w="1800" w:type="dxa"/>
            <w:vAlign w:val="bottom"/>
            <w:shd w:val="clear" w:color="auto" w:fill="DDDDDD"/>
          </w:tcPr>
          <w:p>
            <w:pPr>
              <w:jc w:val="right"/>
              <w:ind w:right="15"/>
              <w:spacing w:after="0" w:line="176" w:lineRule="exact"/>
              <w:rPr>
                <w:sz w:val="20"/>
                <w:szCs w:val="20"/>
                <w:color w:val="auto"/>
              </w:rPr>
            </w:pPr>
            <w:r>
              <w:rPr>
                <w:rFonts w:ascii="Arial" w:cs="Arial" w:eastAsia="Arial" w:hAnsi="Arial"/>
                <w:sz w:val="17"/>
                <w:szCs w:val="17"/>
                <w:b w:val="1"/>
                <w:bCs w:val="1"/>
                <w:color w:val="auto"/>
              </w:rPr>
              <w:t>(19,611)</w:t>
            </w:r>
          </w:p>
        </w:tc>
        <w:tc>
          <w:tcPr>
            <w:tcW w:w="1840" w:type="dxa"/>
            <w:vAlign w:val="bottom"/>
          </w:tcPr>
          <w:p>
            <w:pPr>
              <w:jc w:val="right"/>
              <w:spacing w:after="0" w:line="176" w:lineRule="exact"/>
              <w:rPr>
                <w:sz w:val="20"/>
                <w:szCs w:val="20"/>
                <w:color w:val="auto"/>
              </w:rPr>
            </w:pPr>
            <w:r>
              <w:rPr>
                <w:rFonts w:ascii="Arial" w:cs="Arial" w:eastAsia="Arial" w:hAnsi="Arial"/>
                <w:sz w:val="17"/>
                <w:szCs w:val="17"/>
                <w:color w:val="auto"/>
              </w:rPr>
              <w:t>(21,284)</w:t>
            </w:r>
          </w:p>
        </w:tc>
      </w:tr>
      <w:tr>
        <w:trPr>
          <w:trHeight w:val="211"/>
        </w:trPr>
        <w:tc>
          <w:tcPr>
            <w:tcW w:w="76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xml:space="preserve">Accumulated other comprehensive income </w:t>
            </w:r>
            <w:r>
              <w:rPr>
                <w:rFonts w:ascii="Arial" w:cs="Arial" w:eastAsia="Arial" w:hAnsi="Arial"/>
                <w:sz w:val="14"/>
                <w:szCs w:val="14"/>
                <w:i w:val="1"/>
                <w:iCs w:val="1"/>
                <w:color w:val="auto"/>
              </w:rPr>
              <w:t>(Note 7)</w:t>
            </w:r>
          </w:p>
        </w:tc>
        <w:tc>
          <w:tcPr>
            <w:tcW w:w="180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b w:val="1"/>
                <w:bCs w:val="1"/>
                <w:color w:val="auto"/>
              </w:rPr>
              <w:t>5,652</w:t>
            </w:r>
          </w:p>
        </w:tc>
        <w:tc>
          <w:tcPr>
            <w:tcW w:w="1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4,681</w:t>
            </w:r>
          </w:p>
        </w:tc>
      </w:tr>
      <w:tr>
        <w:trPr>
          <w:trHeight w:val="133"/>
        </w:trPr>
        <w:tc>
          <w:tcPr>
            <w:tcW w:w="7600" w:type="dxa"/>
            <w:vAlign w:val="bottom"/>
          </w:tcPr>
          <w:p>
            <w:pPr>
              <w:ind w:left="100"/>
              <w:spacing w:after="0" w:line="133" w:lineRule="exact"/>
              <w:rPr>
                <w:sz w:val="20"/>
                <w:szCs w:val="20"/>
                <w:color w:val="auto"/>
              </w:rPr>
            </w:pPr>
            <w:r>
              <w:rPr>
                <w:rFonts w:ascii="Arial" w:cs="Arial" w:eastAsia="Arial" w:hAnsi="Arial"/>
                <w:sz w:val="15"/>
                <w:szCs w:val="15"/>
                <w:color w:val="auto"/>
              </w:rPr>
              <w:t>Total Enbridge Inc. shareholders’ equity</w:t>
            </w:r>
          </w:p>
        </w:tc>
        <w:tc>
          <w:tcPr>
            <w:tcW w:w="1800" w:type="dxa"/>
            <w:vAlign w:val="bottom"/>
            <w:shd w:val="clear" w:color="auto" w:fill="DDDDDD"/>
          </w:tcPr>
          <w:p>
            <w:pPr>
              <w:jc w:val="right"/>
              <w:ind w:right="35"/>
              <w:spacing w:after="0" w:line="133" w:lineRule="exact"/>
              <w:rPr>
                <w:sz w:val="20"/>
                <w:szCs w:val="20"/>
                <w:color w:val="auto"/>
              </w:rPr>
            </w:pPr>
            <w:r>
              <w:rPr>
                <w:rFonts w:ascii="Arial" w:cs="Arial" w:eastAsia="Arial" w:hAnsi="Arial"/>
                <w:sz w:val="15"/>
                <w:szCs w:val="15"/>
                <w:b w:val="1"/>
                <w:bCs w:val="1"/>
                <w:color w:val="auto"/>
              </w:rPr>
              <w:t>64,970</w:t>
            </w:r>
          </w:p>
        </w:tc>
        <w:tc>
          <w:tcPr>
            <w:tcW w:w="1840" w:type="dxa"/>
            <w:vAlign w:val="bottom"/>
          </w:tcPr>
          <w:p>
            <w:pPr>
              <w:jc w:val="right"/>
              <w:ind w:right="35"/>
              <w:spacing w:after="0" w:line="133" w:lineRule="exact"/>
              <w:rPr>
                <w:sz w:val="20"/>
                <w:szCs w:val="20"/>
                <w:color w:val="auto"/>
              </w:rPr>
            </w:pPr>
            <w:r>
              <w:rPr>
                <w:rFonts w:ascii="Arial" w:cs="Arial" w:eastAsia="Arial" w:hAnsi="Arial"/>
                <w:sz w:val="15"/>
                <w:szCs w:val="15"/>
                <w:color w:val="auto"/>
              </w:rPr>
              <w:t>62,333</w:t>
            </w:r>
          </w:p>
        </w:tc>
      </w:tr>
      <w:tr>
        <w:trPr>
          <w:trHeight w:val="211"/>
        </w:trPr>
        <w:tc>
          <w:tcPr>
            <w:tcW w:w="76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Noncontrolling interests</w:t>
            </w:r>
          </w:p>
        </w:tc>
        <w:tc>
          <w:tcPr>
            <w:tcW w:w="180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b w:val="1"/>
                <w:bCs w:val="1"/>
                <w:color w:val="auto"/>
              </w:rPr>
              <w:t>2,782</w:t>
            </w:r>
          </w:p>
        </w:tc>
        <w:tc>
          <w:tcPr>
            <w:tcW w:w="1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2,855</w:t>
            </w:r>
          </w:p>
        </w:tc>
      </w:tr>
      <w:tr>
        <w:trPr>
          <w:trHeight w:val="169"/>
        </w:trPr>
        <w:tc>
          <w:tcPr>
            <w:tcW w:w="76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shd w:val="clear" w:color="auto" w:fill="DDDDDD"/>
          </w:tcPr>
          <w:p>
            <w:pPr>
              <w:jc w:val="right"/>
              <w:ind w:right="35"/>
              <w:spacing w:after="0" w:line="169" w:lineRule="exact"/>
              <w:rPr>
                <w:sz w:val="20"/>
                <w:szCs w:val="20"/>
                <w:color w:val="auto"/>
              </w:rPr>
            </w:pPr>
            <w:r>
              <w:rPr>
                <w:rFonts w:ascii="Arial" w:cs="Arial" w:eastAsia="Arial" w:hAnsi="Arial"/>
                <w:sz w:val="17"/>
                <w:szCs w:val="17"/>
                <w:b w:val="1"/>
                <w:bCs w:val="1"/>
                <w:color w:val="auto"/>
              </w:rPr>
              <w:t>67,752</w:t>
            </w:r>
          </w:p>
        </w:tc>
        <w:tc>
          <w:tcPr>
            <w:tcW w:w="184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7"/>
                <w:szCs w:val="17"/>
                <w:color w:val="auto"/>
              </w:rPr>
              <w:t>65,188</w:t>
            </w:r>
          </w:p>
        </w:tc>
      </w:tr>
      <w:tr>
        <w:trPr>
          <w:trHeight w:val="190"/>
        </w:trPr>
        <w:tc>
          <w:tcPr>
            <w:tcW w:w="7600" w:type="dxa"/>
            <w:vAlign w:val="bottom"/>
            <w:tcBorders>
              <w:bottom w:val="single" w:sz="8" w:color="auto"/>
            </w:tcBorders>
          </w:tcPr>
          <w:p>
            <w:pPr>
              <w:spacing w:after="0" w:line="169" w:lineRule="exact"/>
              <w:rPr>
                <w:sz w:val="20"/>
                <w:szCs w:val="20"/>
                <w:color w:val="auto"/>
              </w:rPr>
            </w:pPr>
            <w:r>
              <w:rPr>
                <w:rFonts w:ascii="Arial" w:cs="Arial" w:eastAsia="Arial" w:hAnsi="Arial"/>
                <w:sz w:val="17"/>
                <w:szCs w:val="17"/>
                <w:color w:val="auto"/>
              </w:rPr>
              <w:t>Total liabilities and equity</w:t>
            </w:r>
          </w:p>
        </w:tc>
        <w:tc>
          <w:tcPr>
            <w:tcW w:w="1800" w:type="dxa"/>
            <w:vAlign w:val="bottom"/>
            <w:tcBorders>
              <w:bottom w:val="single" w:sz="8" w:color="auto"/>
            </w:tcBorders>
            <w:shd w:val="clear" w:color="auto" w:fill="DDDDDD"/>
          </w:tcPr>
          <w:p>
            <w:pPr>
              <w:jc w:val="right"/>
              <w:ind w:right="35"/>
              <w:spacing w:after="0" w:line="169" w:lineRule="exact"/>
              <w:rPr>
                <w:sz w:val="20"/>
                <w:szCs w:val="20"/>
                <w:color w:val="auto"/>
              </w:rPr>
            </w:pPr>
            <w:r>
              <w:rPr>
                <w:rFonts w:ascii="Arial" w:cs="Arial" w:eastAsia="Arial" w:hAnsi="Arial"/>
                <w:sz w:val="17"/>
                <w:szCs w:val="17"/>
                <w:b w:val="1"/>
                <w:bCs w:val="1"/>
                <w:color w:val="auto"/>
              </w:rPr>
              <w:t>228,201</w:t>
            </w:r>
          </w:p>
        </w:tc>
        <w:tc>
          <w:tcPr>
            <w:tcW w:w="1840" w:type="dxa"/>
            <w:vAlign w:val="bottom"/>
            <w:tcBorders>
              <w:bottom w:val="single" w:sz="8" w:color="auto"/>
            </w:tcBorders>
          </w:tcPr>
          <w:p>
            <w:pPr>
              <w:jc w:val="right"/>
              <w:ind w:right="35"/>
              <w:spacing w:after="0" w:line="169" w:lineRule="exact"/>
              <w:rPr>
                <w:sz w:val="20"/>
                <w:szCs w:val="20"/>
                <w:color w:val="auto"/>
              </w:rPr>
            </w:pPr>
            <w:r>
              <w:rPr>
                <w:rFonts w:ascii="Arial" w:cs="Arial" w:eastAsia="Arial" w:hAnsi="Arial"/>
                <w:sz w:val="17"/>
                <w:szCs w:val="17"/>
                <w:color w:val="auto"/>
              </w:rPr>
              <w:t>218,475</w:t>
            </w:r>
          </w:p>
        </w:tc>
      </w:tr>
    </w:tbl>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interim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25"/>
          <w:szCs w:val="25"/>
          <w:b w:val="1"/>
          <w:bCs w:val="1"/>
          <w:color w:val="auto"/>
        </w:rPr>
        <w:t>NOTES TO THE INTERIM CONSOLIDATED FINANCIAL STATEMENTS</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23"/>
          <w:szCs w:val="23"/>
          <w:i w:val="1"/>
          <w:iCs w:val="1"/>
          <w:color w:val="auto"/>
        </w:rPr>
        <w:t>(unaudited)</w:t>
      </w:r>
    </w:p>
    <w:p>
      <w:pPr>
        <w:spacing w:after="0" w:line="19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1. BASIS OF PRESENTATION</w:t>
      </w:r>
    </w:p>
    <w:p>
      <w:pPr>
        <w:spacing w:after="0" w:line="22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accompanying unaudited interim consolidated financial statements of Enbridge Inc. ("we", "our", "us" and "Enbridge") have been prepared in accordance with generally accepted accounting principles in the United States of America (US GAAP) and Regulation S-X for interim consolidated financial information. They do not include all of the information and notes required by US GAAP for annual consolidated financial statements and should therefore be read in conjunction with our audited consolidated financial statements and notes for the year ended December 31, 2025. In the opinion of management, the interim consolidated financial statements contain all normal recurring adjustments necessary to present fairly our financial position, results of operations and cash flows for the interim periods reported. These interim consolidated financial statements follow the same significant accounting policies as those included in our audited consolidated financial statements for the year ended December 31, 2025. Amounts are stated in Canadian dollars unless otherwise noted.</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operations and earnings for interim periods can be affected by seasonal fluctuations within the gas distribution utility businesses, as well as other factors such as supply of and demand for crude oil and natural gas and may not be indicative of annual results.</w:t>
      </w:r>
    </w:p>
    <w:p>
      <w:pPr>
        <w:spacing w:after="0" w:line="154"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color w:val="auto"/>
        </w:rPr>
        <w:t>Certain comparative figures in our interim consolidated financial statements have been reclassified to conform to the current year's presentation.</w:t>
      </w:r>
    </w:p>
    <w:p>
      <w:pPr>
        <w:spacing w:after="0" w:line="13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2. CHANGES IN ACCOUNTING POLICIES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ACCOUNTING POLICY CHANGES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Income Statement Expenses</w:t>
      </w:r>
    </w:p>
    <w:p>
      <w:pPr>
        <w:spacing w:after="0" w:line="242" w:lineRule="auto"/>
        <w:rPr>
          <w:sz w:val="20"/>
          <w:szCs w:val="20"/>
          <w:color w:val="auto"/>
        </w:rPr>
      </w:pPr>
      <w:r>
        <w:rPr>
          <w:rFonts w:ascii="Arial" w:cs="Arial" w:eastAsia="Arial" w:hAnsi="Arial"/>
          <w:sz w:val="18"/>
          <w:szCs w:val="18"/>
          <w:color w:val="auto"/>
        </w:rPr>
        <w:t>Accounting Standards Update (ASU) 2024-03 was issued in November 2024 to improve financial reporting by requiring entities to disclose additional information about specific expense categories in the notes to financial statements at interim and annual reporting periods. The ASU requires entities to disclose 1) the amounts of (a) purchases of inventory, (b) employee compensation, (c) depreciation, (d) intangible asset amortization, (e) depreciation, depletion and amortization recognized as part of oil and gas producing activities, (f) expense reimbursements included in a relevant expense caption, and (g) selling expenses, and 2) a qualitative description of the amounts remaining in relevant expense captions that are not separately disaggregated quantitatively. ASU 2024-03 is effective January 1, 2027, with interim period disclosure requirements effective after January 1, 2028 and can be applied either prospectively or retrospectively. The additional note disclosures will be included in our December 31, 2027 annual consolidated financial statements and in our interim financial statements beginning in 2028.</w:t>
      </w: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1" w:right="419" w:bottom="1440" w:gutter="0" w:footer="0" w:header="0"/>
        </w:sectPr>
      </w:pPr>
    </w:p>
    <w:bookmarkStart w:id="11" w:name="page12"/>
    <w:bookmarkEnd w:id="11"/>
    <w:p>
      <w:pPr>
        <w:spacing w:after="0"/>
        <w:rPr>
          <w:sz w:val="20"/>
          <w:szCs w:val="20"/>
          <w:color w:val="auto"/>
        </w:rPr>
      </w:pPr>
      <w:r>
        <w:rPr>
          <w:rFonts w:ascii="Arial" w:cs="Arial" w:eastAsia="Arial" w:hAnsi="Arial"/>
          <w:sz w:val="23"/>
          <w:szCs w:val="23"/>
          <w:b w:val="1"/>
          <w:bCs w:val="1"/>
          <w:color w:val="auto"/>
        </w:rPr>
        <w:t>3. REVENUE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Products and Services</w:t>
      </w:r>
    </w:p>
    <w:tbl>
      <w:tblPr>
        <w:tblLayout w:type="fixed"/>
        <w:tblInd w:w="0" w:type="dxa"/>
        <w:tblCellMar>
          <w:top w:w="0" w:type="dxa"/>
          <w:left w:w="0" w:type="dxa"/>
          <w:bottom w:w="0" w:type="dxa"/>
          <w:right w:w="0" w:type="dxa"/>
        </w:tblCellMar>
      </w:tblPr>
      <w:tr>
        <w:trPr>
          <w:trHeight w:val="134"/>
        </w:trPr>
        <w:tc>
          <w:tcPr>
            <w:tcW w:w="4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60" w:type="dxa"/>
            <w:vAlign w:val="bottom"/>
          </w:tcPr>
          <w:p>
            <w:pPr>
              <w:jc w:val="right"/>
              <w:ind w:right="28"/>
              <w:spacing w:after="0" w:line="135" w:lineRule="exact"/>
              <w:rPr>
                <w:sz w:val="20"/>
                <w:szCs w:val="20"/>
                <w:color w:val="auto"/>
              </w:rPr>
            </w:pPr>
            <w:r>
              <w:rPr>
                <w:rFonts w:ascii="Arial" w:cs="Arial" w:eastAsia="Arial" w:hAnsi="Arial"/>
                <w:sz w:val="14"/>
                <w:szCs w:val="14"/>
                <w:color w:val="auto"/>
              </w:rPr>
              <w:t>Renewable</w:t>
            </w:r>
          </w:p>
        </w:tc>
        <w:tc>
          <w:tcPr>
            <w:tcW w:w="1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2026</w:t>
            </w:r>
          </w:p>
        </w:tc>
        <w:tc>
          <w:tcPr>
            <w:tcW w:w="840" w:type="dxa"/>
            <w:vAlign w:val="bottom"/>
          </w:tcPr>
          <w:p>
            <w:pPr>
              <w:jc w:val="right"/>
              <w:spacing w:after="0" w:line="158" w:lineRule="exact"/>
              <w:rPr>
                <w:sz w:val="20"/>
                <w:szCs w:val="20"/>
                <w:color w:val="auto"/>
              </w:rPr>
            </w:pPr>
            <w:r>
              <w:rPr>
                <w:rFonts w:ascii="Arial" w:cs="Arial" w:eastAsia="Arial" w:hAnsi="Arial"/>
                <w:sz w:val="14"/>
                <w:szCs w:val="14"/>
                <w:color w:val="auto"/>
              </w:rPr>
              <w:t>Liquids</w:t>
            </w:r>
          </w:p>
        </w:tc>
        <w:tc>
          <w:tcPr>
            <w:tcW w:w="1380" w:type="dxa"/>
            <w:vAlign w:val="bottom"/>
          </w:tcPr>
          <w:p>
            <w:pPr>
              <w:jc w:val="right"/>
              <w:ind w:right="88"/>
              <w:spacing w:after="0" w:line="158" w:lineRule="exact"/>
              <w:rPr>
                <w:sz w:val="20"/>
                <w:szCs w:val="20"/>
                <w:color w:val="auto"/>
              </w:rPr>
            </w:pPr>
            <w:r>
              <w:rPr>
                <w:rFonts w:ascii="Arial" w:cs="Arial" w:eastAsia="Arial" w:hAnsi="Arial"/>
                <w:sz w:val="14"/>
                <w:szCs w:val="14"/>
                <w:color w:val="auto"/>
              </w:rPr>
              <w:t>Gas</w:t>
            </w:r>
          </w:p>
        </w:tc>
        <w:tc>
          <w:tcPr>
            <w:tcW w:w="1320" w:type="dxa"/>
            <w:vAlign w:val="bottom"/>
          </w:tcPr>
          <w:p>
            <w:pPr>
              <w:jc w:val="right"/>
              <w:ind w:right="188"/>
              <w:spacing w:after="0" w:line="158" w:lineRule="exact"/>
              <w:rPr>
                <w:sz w:val="20"/>
                <w:szCs w:val="20"/>
                <w:color w:val="auto"/>
              </w:rPr>
            </w:pPr>
            <w:r>
              <w:rPr>
                <w:rFonts w:ascii="Arial" w:cs="Arial" w:eastAsia="Arial" w:hAnsi="Arial"/>
                <w:sz w:val="14"/>
                <w:szCs w:val="14"/>
                <w:color w:val="auto"/>
              </w:rPr>
              <w:t>Gas Distribution</w:t>
            </w:r>
          </w:p>
        </w:tc>
        <w:tc>
          <w:tcPr>
            <w:tcW w:w="1060" w:type="dxa"/>
            <w:vAlign w:val="bottom"/>
          </w:tcPr>
          <w:p>
            <w:pPr>
              <w:jc w:val="right"/>
              <w:ind w:right="28"/>
              <w:spacing w:after="0" w:line="158" w:lineRule="exact"/>
              <w:rPr>
                <w:sz w:val="20"/>
                <w:szCs w:val="20"/>
                <w:color w:val="auto"/>
              </w:rPr>
            </w:pPr>
            <w:r>
              <w:rPr>
                <w:rFonts w:ascii="Arial" w:cs="Arial" w:eastAsia="Arial" w:hAnsi="Arial"/>
                <w:sz w:val="14"/>
                <w:szCs w:val="14"/>
                <w:color w:val="auto"/>
              </w:rPr>
              <w:t>Power</w:t>
            </w:r>
          </w:p>
        </w:tc>
        <w:tc>
          <w:tcPr>
            <w:tcW w:w="1440" w:type="dxa"/>
            <w:vAlign w:val="bottom"/>
          </w:tcPr>
          <w:p>
            <w:pPr>
              <w:jc w:val="right"/>
              <w:ind w:right="248"/>
              <w:spacing w:after="0" w:line="158" w:lineRule="exact"/>
              <w:rPr>
                <w:sz w:val="20"/>
                <w:szCs w:val="20"/>
                <w:color w:val="auto"/>
              </w:rPr>
            </w:pPr>
            <w:r>
              <w:rPr>
                <w:rFonts w:ascii="Arial" w:cs="Arial" w:eastAsia="Arial" w:hAnsi="Arial"/>
                <w:sz w:val="14"/>
                <w:szCs w:val="14"/>
                <w:color w:val="auto"/>
              </w:rPr>
              <w:t>Eliminations and</w:t>
            </w:r>
          </w:p>
        </w:tc>
        <w:tc>
          <w:tcPr>
            <w:tcW w:w="1180" w:type="dxa"/>
            <w:vAlign w:val="bottom"/>
            <w:vMerge w:val="restart"/>
          </w:tcPr>
          <w:p>
            <w:pPr>
              <w:jc w:val="right"/>
              <w:ind w:right="49"/>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5"/>
        </w:trPr>
        <w:tc>
          <w:tcPr>
            <w:tcW w:w="402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Pipelines</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Transmission</w:t>
            </w: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and Storage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Generation</w:t>
            </w:r>
          </w:p>
        </w:tc>
        <w:tc>
          <w:tcPr>
            <w:tcW w:w="14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Other</w:t>
            </w: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line="119" w:lineRule="exact"/>
              <w:rPr>
                <w:sz w:val="20"/>
                <w:szCs w:val="20"/>
                <w:color w:val="auto"/>
              </w:rPr>
            </w:pPr>
            <w:r>
              <w:rPr>
                <w:rFonts w:ascii="Arial" w:cs="Arial" w:eastAsia="Arial" w:hAnsi="Arial"/>
                <w:sz w:val="13"/>
                <w:szCs w:val="13"/>
                <w:i w:val="1"/>
                <w:iCs w:val="1"/>
                <w:color w:val="auto"/>
              </w:rPr>
              <w:t>(millions of Canadian dollars)</w:t>
            </w:r>
          </w:p>
        </w:tc>
        <w:tc>
          <w:tcPr>
            <w:tcW w:w="840" w:type="dxa"/>
            <w:vAlign w:val="bottom"/>
            <w:shd w:val="clear" w:color="auto" w:fill="D9D9D9"/>
          </w:tcPr>
          <w:p>
            <w:pPr>
              <w:spacing w:after="0"/>
              <w:rPr>
                <w:sz w:val="10"/>
                <w:szCs w:val="10"/>
                <w:color w:val="auto"/>
              </w:rPr>
            </w:pPr>
          </w:p>
        </w:tc>
        <w:tc>
          <w:tcPr>
            <w:tcW w:w="1380" w:type="dxa"/>
            <w:vAlign w:val="bottom"/>
            <w:shd w:val="clear" w:color="auto" w:fill="D9D9D9"/>
          </w:tcPr>
          <w:p>
            <w:pPr>
              <w:spacing w:after="0"/>
              <w:rPr>
                <w:sz w:val="10"/>
                <w:szCs w:val="10"/>
                <w:color w:val="auto"/>
              </w:rPr>
            </w:pPr>
          </w:p>
        </w:tc>
        <w:tc>
          <w:tcPr>
            <w:tcW w:w="1320" w:type="dxa"/>
            <w:vAlign w:val="bottom"/>
            <w:shd w:val="clear" w:color="auto" w:fill="D9D9D9"/>
          </w:tcPr>
          <w:p>
            <w:pPr>
              <w:spacing w:after="0"/>
              <w:rPr>
                <w:sz w:val="10"/>
                <w:szCs w:val="10"/>
                <w:color w:val="auto"/>
              </w:rPr>
            </w:pPr>
          </w:p>
        </w:tc>
        <w:tc>
          <w:tcPr>
            <w:tcW w:w="1060" w:type="dxa"/>
            <w:vAlign w:val="bottom"/>
            <w:shd w:val="clear" w:color="auto" w:fill="D9D9D9"/>
          </w:tcPr>
          <w:p>
            <w:pPr>
              <w:spacing w:after="0"/>
              <w:rPr>
                <w:sz w:val="10"/>
                <w:szCs w:val="10"/>
                <w:color w:val="auto"/>
              </w:rPr>
            </w:pPr>
          </w:p>
        </w:tc>
        <w:tc>
          <w:tcPr>
            <w:tcW w:w="1440" w:type="dxa"/>
            <w:vAlign w:val="bottom"/>
            <w:shd w:val="clear" w:color="auto" w:fill="D9D9D9"/>
          </w:tcPr>
          <w:p>
            <w:pPr>
              <w:spacing w:after="0"/>
              <w:rPr>
                <w:sz w:val="10"/>
                <w:szCs w:val="10"/>
                <w:color w:val="auto"/>
              </w:rPr>
            </w:pPr>
          </w:p>
        </w:tc>
        <w:tc>
          <w:tcPr>
            <w:tcW w:w="118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line="149" w:lineRule="exact"/>
              <w:rPr>
                <w:sz w:val="20"/>
                <w:szCs w:val="20"/>
                <w:color w:val="auto"/>
              </w:rPr>
            </w:pPr>
            <w:r>
              <w:rPr>
                <w:rFonts w:ascii="Arial" w:cs="Arial" w:eastAsia="Arial" w:hAnsi="Arial"/>
                <w:sz w:val="14"/>
                <w:szCs w:val="14"/>
                <w:color w:val="auto"/>
              </w:rPr>
              <w:t>Transportation revenue</w:t>
            </w:r>
          </w:p>
        </w:tc>
        <w:tc>
          <w:tcPr>
            <w:tcW w:w="8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2,795</w:t>
            </w:r>
          </w:p>
        </w:tc>
        <w:tc>
          <w:tcPr>
            <w:tcW w:w="1380" w:type="dxa"/>
            <w:vAlign w:val="bottom"/>
            <w:shd w:val="clear" w:color="auto" w:fill="D9D9D9"/>
          </w:tcPr>
          <w:p>
            <w:pPr>
              <w:jc w:val="right"/>
              <w:ind w:right="48"/>
              <w:spacing w:after="0" w:line="149" w:lineRule="exact"/>
              <w:rPr>
                <w:sz w:val="20"/>
                <w:szCs w:val="20"/>
                <w:color w:val="auto"/>
              </w:rPr>
            </w:pPr>
            <w:r>
              <w:rPr>
                <w:rFonts w:ascii="Arial" w:cs="Arial" w:eastAsia="Arial" w:hAnsi="Arial"/>
                <w:sz w:val="14"/>
                <w:szCs w:val="14"/>
                <w:b w:val="1"/>
                <w:bCs w:val="1"/>
                <w:color w:val="auto"/>
              </w:rPr>
              <w:t>1,471</w:t>
            </w:r>
          </w:p>
        </w:tc>
        <w:tc>
          <w:tcPr>
            <w:tcW w:w="1320" w:type="dxa"/>
            <w:vAlign w:val="bottom"/>
            <w:shd w:val="clear" w:color="auto" w:fill="D9D9D9"/>
          </w:tcPr>
          <w:p>
            <w:pPr>
              <w:jc w:val="right"/>
              <w:ind w:right="188"/>
              <w:spacing w:after="0" w:line="149" w:lineRule="exact"/>
              <w:rPr>
                <w:sz w:val="20"/>
                <w:szCs w:val="20"/>
                <w:color w:val="auto"/>
              </w:rPr>
            </w:pPr>
            <w:r>
              <w:rPr>
                <w:rFonts w:ascii="Arial" w:cs="Arial" w:eastAsia="Arial" w:hAnsi="Arial"/>
                <w:sz w:val="14"/>
                <w:szCs w:val="14"/>
                <w:b w:val="1"/>
                <w:bCs w:val="1"/>
                <w:color w:val="auto"/>
              </w:rPr>
              <w:t>63</w:t>
            </w:r>
          </w:p>
        </w:tc>
        <w:tc>
          <w:tcPr>
            <w:tcW w:w="10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D9D9D9"/>
          </w:tcPr>
          <w:p>
            <w:pPr>
              <w:jc w:val="right"/>
              <w:ind w:right="208"/>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D9D9D9"/>
          </w:tcPr>
          <w:p>
            <w:pPr>
              <w:jc w:val="right"/>
              <w:ind w:right="49"/>
              <w:spacing w:after="0" w:line="149" w:lineRule="exact"/>
              <w:rPr>
                <w:sz w:val="20"/>
                <w:szCs w:val="20"/>
                <w:color w:val="auto"/>
              </w:rPr>
            </w:pPr>
            <w:r>
              <w:rPr>
                <w:rFonts w:ascii="Arial" w:cs="Arial" w:eastAsia="Arial" w:hAnsi="Arial"/>
                <w:sz w:val="14"/>
                <w:szCs w:val="14"/>
                <w:b w:val="1"/>
                <w:bCs w:val="1"/>
                <w:color w:val="auto"/>
              </w:rPr>
              <w:t>4,329</w:t>
            </w:r>
          </w:p>
        </w:tc>
        <w:tc>
          <w:tcPr>
            <w:tcW w:w="0" w:type="dxa"/>
            <w:vAlign w:val="bottom"/>
          </w:tcPr>
          <w:p>
            <w:pPr>
              <w:spacing w:after="0"/>
              <w:rPr>
                <w:sz w:val="1"/>
                <w:szCs w:val="1"/>
                <w:color w:val="auto"/>
              </w:rPr>
            </w:pPr>
          </w:p>
        </w:tc>
      </w:tr>
      <w:tr>
        <w:trPr>
          <w:trHeight w:val="148"/>
        </w:trPr>
        <w:tc>
          <w:tcPr>
            <w:tcW w:w="4020" w:type="dxa"/>
            <w:vAlign w:val="bottom"/>
          </w:tcPr>
          <w:p>
            <w:pPr>
              <w:spacing w:after="0" w:line="149" w:lineRule="exact"/>
              <w:rPr>
                <w:sz w:val="20"/>
                <w:szCs w:val="20"/>
                <w:color w:val="auto"/>
              </w:rPr>
            </w:pPr>
            <w:r>
              <w:rPr>
                <w:rFonts w:ascii="Arial" w:cs="Arial" w:eastAsia="Arial" w:hAnsi="Arial"/>
                <w:sz w:val="14"/>
                <w:szCs w:val="14"/>
                <w:color w:val="auto"/>
              </w:rPr>
              <w:t>Storage and other revenue</w:t>
            </w:r>
          </w:p>
        </w:tc>
        <w:tc>
          <w:tcPr>
            <w:tcW w:w="8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62</w:t>
            </w:r>
          </w:p>
        </w:tc>
        <w:tc>
          <w:tcPr>
            <w:tcW w:w="1380" w:type="dxa"/>
            <w:vAlign w:val="bottom"/>
            <w:shd w:val="clear" w:color="auto" w:fill="D9D9D9"/>
          </w:tcPr>
          <w:p>
            <w:pPr>
              <w:jc w:val="right"/>
              <w:ind w:right="48"/>
              <w:spacing w:after="0" w:line="149" w:lineRule="exact"/>
              <w:rPr>
                <w:sz w:val="20"/>
                <w:szCs w:val="20"/>
                <w:color w:val="auto"/>
              </w:rPr>
            </w:pPr>
            <w:r>
              <w:rPr>
                <w:rFonts w:ascii="Arial" w:cs="Arial" w:eastAsia="Arial" w:hAnsi="Arial"/>
                <w:sz w:val="14"/>
                <w:szCs w:val="14"/>
                <w:b w:val="1"/>
                <w:bCs w:val="1"/>
                <w:color w:val="auto"/>
              </w:rPr>
              <w:t>187</w:t>
            </w:r>
          </w:p>
        </w:tc>
        <w:tc>
          <w:tcPr>
            <w:tcW w:w="1320" w:type="dxa"/>
            <w:vAlign w:val="bottom"/>
            <w:shd w:val="clear" w:color="auto" w:fill="D9D9D9"/>
          </w:tcPr>
          <w:p>
            <w:pPr>
              <w:jc w:val="right"/>
              <w:ind w:right="188"/>
              <w:spacing w:after="0" w:line="149" w:lineRule="exact"/>
              <w:rPr>
                <w:sz w:val="20"/>
                <w:szCs w:val="20"/>
                <w:color w:val="auto"/>
              </w:rPr>
            </w:pPr>
            <w:r>
              <w:rPr>
                <w:rFonts w:ascii="Arial" w:cs="Arial" w:eastAsia="Arial" w:hAnsi="Arial"/>
                <w:sz w:val="14"/>
                <w:szCs w:val="14"/>
                <w:b w:val="1"/>
                <w:bCs w:val="1"/>
                <w:color w:val="auto"/>
              </w:rPr>
              <w:t>155</w:t>
            </w:r>
          </w:p>
        </w:tc>
        <w:tc>
          <w:tcPr>
            <w:tcW w:w="10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D9D9D9"/>
          </w:tcPr>
          <w:p>
            <w:pPr>
              <w:jc w:val="right"/>
              <w:ind w:right="208"/>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D9D9D9"/>
          </w:tcPr>
          <w:p>
            <w:pPr>
              <w:jc w:val="right"/>
              <w:ind w:right="49"/>
              <w:spacing w:after="0" w:line="149" w:lineRule="exact"/>
              <w:rPr>
                <w:sz w:val="20"/>
                <w:szCs w:val="20"/>
                <w:color w:val="auto"/>
              </w:rPr>
            </w:pPr>
            <w:r>
              <w:rPr>
                <w:rFonts w:ascii="Arial" w:cs="Arial" w:eastAsia="Arial" w:hAnsi="Arial"/>
                <w:sz w:val="14"/>
                <w:szCs w:val="14"/>
                <w:b w:val="1"/>
                <w:bCs w:val="1"/>
                <w:color w:val="auto"/>
              </w:rPr>
              <w:t>404</w:t>
            </w:r>
          </w:p>
        </w:tc>
        <w:tc>
          <w:tcPr>
            <w:tcW w:w="0" w:type="dxa"/>
            <w:vAlign w:val="bottom"/>
          </w:tcPr>
          <w:p>
            <w:pPr>
              <w:spacing w:after="0"/>
              <w:rPr>
                <w:sz w:val="1"/>
                <w:szCs w:val="1"/>
                <w:color w:val="auto"/>
              </w:rPr>
            </w:pP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Gas distribution sales</w:t>
            </w:r>
          </w:p>
        </w:tc>
        <w:tc>
          <w:tcPr>
            <w:tcW w:w="8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shd w:val="clear" w:color="auto" w:fill="D9D9D9"/>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D9D9D9"/>
          </w:tcPr>
          <w:p>
            <w:pPr>
              <w:jc w:val="right"/>
              <w:ind w:right="188"/>
              <w:spacing w:after="0" w:line="149" w:lineRule="exact"/>
              <w:rPr>
                <w:sz w:val="20"/>
                <w:szCs w:val="20"/>
                <w:color w:val="auto"/>
              </w:rPr>
            </w:pPr>
            <w:r>
              <w:rPr>
                <w:rFonts w:ascii="Arial" w:cs="Arial" w:eastAsia="Arial" w:hAnsi="Arial"/>
                <w:sz w:val="14"/>
                <w:szCs w:val="14"/>
                <w:b w:val="1"/>
                <w:bCs w:val="1"/>
                <w:color w:val="auto"/>
              </w:rPr>
              <w:t>4,113</w:t>
            </w:r>
          </w:p>
        </w:tc>
        <w:tc>
          <w:tcPr>
            <w:tcW w:w="10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D9D9D9"/>
          </w:tcPr>
          <w:p>
            <w:pPr>
              <w:jc w:val="right"/>
              <w:ind w:right="208"/>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D9D9D9"/>
          </w:tcPr>
          <w:p>
            <w:pPr>
              <w:jc w:val="right"/>
              <w:ind w:right="49"/>
              <w:spacing w:after="0" w:line="149" w:lineRule="exact"/>
              <w:rPr>
                <w:sz w:val="20"/>
                <w:szCs w:val="20"/>
                <w:color w:val="auto"/>
              </w:rPr>
            </w:pPr>
            <w:r>
              <w:rPr>
                <w:rFonts w:ascii="Arial" w:cs="Arial" w:eastAsia="Arial" w:hAnsi="Arial"/>
                <w:sz w:val="14"/>
                <w:szCs w:val="14"/>
                <w:b w:val="1"/>
                <w:bCs w:val="1"/>
                <w:color w:val="auto"/>
              </w:rPr>
              <w:t>4,113</w:t>
            </w:r>
          </w:p>
        </w:tc>
        <w:tc>
          <w:tcPr>
            <w:tcW w:w="0" w:type="dxa"/>
            <w:vAlign w:val="bottom"/>
          </w:tcPr>
          <w:p>
            <w:pPr>
              <w:spacing w:after="0"/>
              <w:rPr>
                <w:sz w:val="1"/>
                <w:szCs w:val="1"/>
                <w:color w:val="auto"/>
              </w:rPr>
            </w:pPr>
          </w:p>
        </w:tc>
      </w:tr>
      <w:tr>
        <w:trPr>
          <w:trHeight w:val="148"/>
        </w:trPr>
        <w:tc>
          <w:tcPr>
            <w:tcW w:w="4020" w:type="dxa"/>
            <w:vAlign w:val="bottom"/>
          </w:tcPr>
          <w:p>
            <w:pPr>
              <w:spacing w:after="0" w:line="149" w:lineRule="exact"/>
              <w:rPr>
                <w:sz w:val="20"/>
                <w:szCs w:val="20"/>
                <w:color w:val="auto"/>
              </w:rPr>
            </w:pPr>
            <w:r>
              <w:rPr>
                <w:rFonts w:ascii="Arial" w:cs="Arial" w:eastAsia="Arial" w:hAnsi="Arial"/>
                <w:sz w:val="14"/>
                <w:szCs w:val="14"/>
                <w:color w:val="auto"/>
              </w:rPr>
              <w:t>Electricity revenue</w:t>
            </w:r>
          </w:p>
        </w:tc>
        <w:tc>
          <w:tcPr>
            <w:tcW w:w="8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shd w:val="clear" w:color="auto" w:fill="D9D9D9"/>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D9D9D9"/>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77</w:t>
            </w:r>
          </w:p>
        </w:tc>
        <w:tc>
          <w:tcPr>
            <w:tcW w:w="1440" w:type="dxa"/>
            <w:vAlign w:val="bottom"/>
            <w:shd w:val="clear" w:color="auto" w:fill="D9D9D9"/>
          </w:tcPr>
          <w:p>
            <w:pPr>
              <w:jc w:val="right"/>
              <w:ind w:right="208"/>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D9D9D9"/>
          </w:tcPr>
          <w:p>
            <w:pPr>
              <w:jc w:val="right"/>
              <w:ind w:right="49"/>
              <w:spacing w:after="0" w:line="149" w:lineRule="exact"/>
              <w:rPr>
                <w:sz w:val="20"/>
                <w:szCs w:val="20"/>
                <w:color w:val="auto"/>
              </w:rPr>
            </w:pPr>
            <w:r>
              <w:rPr>
                <w:rFonts w:ascii="Arial" w:cs="Arial" w:eastAsia="Arial" w:hAnsi="Arial"/>
                <w:sz w:val="14"/>
                <w:szCs w:val="14"/>
                <w:b w:val="1"/>
                <w:bCs w:val="1"/>
                <w:color w:val="auto"/>
              </w:rPr>
              <w:t>77</w:t>
            </w:r>
          </w:p>
        </w:tc>
        <w:tc>
          <w:tcPr>
            <w:tcW w:w="0" w:type="dxa"/>
            <w:vAlign w:val="bottom"/>
          </w:tcPr>
          <w:p>
            <w:pPr>
              <w:spacing w:after="0"/>
              <w:rPr>
                <w:sz w:val="1"/>
                <w:szCs w:val="1"/>
                <w:color w:val="auto"/>
              </w:rPr>
            </w:pPr>
          </w:p>
        </w:tc>
      </w:tr>
      <w:tr>
        <w:trPr>
          <w:trHeight w:val="171"/>
        </w:trPr>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Commodity sales</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b w:val="1"/>
                <w:bCs w:val="1"/>
                <w:color w:val="auto"/>
              </w:rPr>
              <w:t>38</w:t>
            </w:r>
          </w:p>
        </w:tc>
        <w:tc>
          <w:tcPr>
            <w:tcW w:w="1320" w:type="dxa"/>
            <w:vAlign w:val="bottom"/>
            <w:tcBorders>
              <w:bottom w:val="single" w:sz="8" w:color="auto"/>
            </w:tcBorders>
            <w:shd w:val="clear" w:color="auto" w:fill="D9D9D9"/>
          </w:tcPr>
          <w:p>
            <w:pPr>
              <w:jc w:val="right"/>
              <w:ind w:right="188"/>
              <w:spacing w:after="0"/>
              <w:rPr>
                <w:sz w:val="20"/>
                <w:szCs w:val="20"/>
                <w:color w:val="auto"/>
              </w:rPr>
            </w:pPr>
            <w:r>
              <w:rPr>
                <w:rFonts w:ascii="Arial" w:cs="Arial" w:eastAsia="Arial" w:hAnsi="Arial"/>
                <w:sz w:val="14"/>
                <w:szCs w:val="14"/>
                <w:b w:val="1"/>
                <w:bCs w:val="1"/>
                <w:color w:val="auto"/>
              </w:rPr>
              <w:t>7</w:t>
            </w: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D9D9D9"/>
          </w:tcPr>
          <w:p>
            <w:pPr>
              <w:jc w:val="right"/>
              <w:ind w:right="20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D9D9D9"/>
          </w:tcPr>
          <w:p>
            <w:pPr>
              <w:jc w:val="right"/>
              <w:ind w:right="49"/>
              <w:spacing w:after="0"/>
              <w:rPr>
                <w:sz w:val="20"/>
                <w:szCs w:val="20"/>
                <w:color w:val="auto"/>
              </w:rPr>
            </w:pPr>
            <w:r>
              <w:rPr>
                <w:rFonts w:ascii="Arial" w:cs="Arial" w:eastAsia="Arial" w:hAnsi="Arial"/>
                <w:sz w:val="14"/>
                <w:szCs w:val="14"/>
                <w:b w:val="1"/>
                <w:bCs w:val="1"/>
                <w:color w:val="auto"/>
              </w:rPr>
              <w:t>45</w:t>
            </w:r>
          </w:p>
        </w:tc>
        <w:tc>
          <w:tcPr>
            <w:tcW w:w="0" w:type="dxa"/>
            <w:vAlign w:val="bottom"/>
          </w:tcPr>
          <w:p>
            <w:pPr>
              <w:spacing w:after="0"/>
              <w:rPr>
                <w:sz w:val="1"/>
                <w:szCs w:val="1"/>
                <w:color w:val="auto"/>
              </w:rPr>
            </w:pPr>
          </w:p>
        </w:tc>
      </w:tr>
      <w:tr>
        <w:trPr>
          <w:trHeight w:val="119"/>
        </w:trPr>
        <w:tc>
          <w:tcPr>
            <w:tcW w:w="4020" w:type="dxa"/>
            <w:vAlign w:val="bottom"/>
          </w:tcPr>
          <w:p>
            <w:pPr>
              <w:spacing w:after="0" w:line="119" w:lineRule="exact"/>
              <w:rPr>
                <w:sz w:val="20"/>
                <w:szCs w:val="20"/>
                <w:color w:val="auto"/>
              </w:rPr>
            </w:pPr>
            <w:r>
              <w:rPr>
                <w:rFonts w:ascii="Arial" w:cs="Arial" w:eastAsia="Arial" w:hAnsi="Arial"/>
                <w:sz w:val="13"/>
                <w:szCs w:val="13"/>
                <w:color w:val="auto"/>
              </w:rPr>
              <w:t>Total revenue from contracts with customers</w:t>
            </w:r>
          </w:p>
        </w:tc>
        <w:tc>
          <w:tcPr>
            <w:tcW w:w="840" w:type="dxa"/>
            <w:vAlign w:val="bottom"/>
            <w:shd w:val="clear" w:color="auto" w:fill="D9D9D9"/>
          </w:tcPr>
          <w:p>
            <w:pPr>
              <w:jc w:val="right"/>
              <w:spacing w:after="0" w:line="119" w:lineRule="exact"/>
              <w:rPr>
                <w:sz w:val="20"/>
                <w:szCs w:val="20"/>
                <w:color w:val="auto"/>
              </w:rPr>
            </w:pPr>
            <w:r>
              <w:rPr>
                <w:rFonts w:ascii="Arial" w:cs="Arial" w:eastAsia="Arial" w:hAnsi="Arial"/>
                <w:sz w:val="13"/>
                <w:szCs w:val="13"/>
                <w:b w:val="1"/>
                <w:bCs w:val="1"/>
                <w:color w:val="auto"/>
              </w:rPr>
              <w:t>2,857</w:t>
            </w:r>
          </w:p>
        </w:tc>
        <w:tc>
          <w:tcPr>
            <w:tcW w:w="1380" w:type="dxa"/>
            <w:vAlign w:val="bottom"/>
            <w:shd w:val="clear" w:color="auto" w:fill="D9D9D9"/>
          </w:tcPr>
          <w:p>
            <w:pPr>
              <w:jc w:val="right"/>
              <w:ind w:right="48"/>
              <w:spacing w:after="0" w:line="119" w:lineRule="exact"/>
              <w:rPr>
                <w:sz w:val="20"/>
                <w:szCs w:val="20"/>
                <w:color w:val="auto"/>
              </w:rPr>
            </w:pPr>
            <w:r>
              <w:rPr>
                <w:rFonts w:ascii="Arial" w:cs="Arial" w:eastAsia="Arial" w:hAnsi="Arial"/>
                <w:sz w:val="13"/>
                <w:szCs w:val="13"/>
                <w:b w:val="1"/>
                <w:bCs w:val="1"/>
                <w:color w:val="auto"/>
              </w:rPr>
              <w:t>1,696</w:t>
            </w:r>
          </w:p>
        </w:tc>
        <w:tc>
          <w:tcPr>
            <w:tcW w:w="1320" w:type="dxa"/>
            <w:vAlign w:val="bottom"/>
            <w:shd w:val="clear" w:color="auto" w:fill="D9D9D9"/>
          </w:tcPr>
          <w:p>
            <w:pPr>
              <w:jc w:val="right"/>
              <w:ind w:right="188"/>
              <w:spacing w:after="0" w:line="119" w:lineRule="exact"/>
              <w:rPr>
                <w:sz w:val="20"/>
                <w:szCs w:val="20"/>
                <w:color w:val="auto"/>
              </w:rPr>
            </w:pPr>
            <w:r>
              <w:rPr>
                <w:rFonts w:ascii="Arial" w:cs="Arial" w:eastAsia="Arial" w:hAnsi="Arial"/>
                <w:sz w:val="13"/>
                <w:szCs w:val="13"/>
                <w:b w:val="1"/>
                <w:bCs w:val="1"/>
                <w:color w:val="auto"/>
              </w:rPr>
              <w:t>4,338</w:t>
            </w:r>
          </w:p>
        </w:tc>
        <w:tc>
          <w:tcPr>
            <w:tcW w:w="1060" w:type="dxa"/>
            <w:vAlign w:val="bottom"/>
            <w:shd w:val="clear" w:color="auto" w:fill="D9D9D9"/>
          </w:tcPr>
          <w:p>
            <w:pPr>
              <w:jc w:val="right"/>
              <w:spacing w:after="0" w:line="119" w:lineRule="exact"/>
              <w:rPr>
                <w:sz w:val="20"/>
                <w:szCs w:val="20"/>
                <w:color w:val="auto"/>
              </w:rPr>
            </w:pPr>
            <w:r>
              <w:rPr>
                <w:rFonts w:ascii="Arial" w:cs="Arial" w:eastAsia="Arial" w:hAnsi="Arial"/>
                <w:sz w:val="13"/>
                <w:szCs w:val="13"/>
                <w:b w:val="1"/>
                <w:bCs w:val="1"/>
                <w:color w:val="auto"/>
              </w:rPr>
              <w:t>77</w:t>
            </w:r>
          </w:p>
        </w:tc>
        <w:tc>
          <w:tcPr>
            <w:tcW w:w="1440" w:type="dxa"/>
            <w:vAlign w:val="bottom"/>
            <w:shd w:val="clear" w:color="auto" w:fill="D9D9D9"/>
          </w:tcPr>
          <w:p>
            <w:pPr>
              <w:jc w:val="right"/>
              <w:ind w:right="208"/>
              <w:spacing w:after="0" w:line="119" w:lineRule="exact"/>
              <w:rPr>
                <w:sz w:val="20"/>
                <w:szCs w:val="20"/>
                <w:color w:val="auto"/>
              </w:rPr>
            </w:pPr>
            <w:r>
              <w:rPr>
                <w:rFonts w:ascii="Arial" w:cs="Arial" w:eastAsia="Arial" w:hAnsi="Arial"/>
                <w:sz w:val="13"/>
                <w:szCs w:val="13"/>
                <w:b w:val="1"/>
                <w:bCs w:val="1"/>
                <w:color w:val="auto"/>
              </w:rPr>
              <w:t>—</w:t>
            </w:r>
          </w:p>
        </w:tc>
        <w:tc>
          <w:tcPr>
            <w:tcW w:w="1180" w:type="dxa"/>
            <w:vAlign w:val="bottom"/>
            <w:shd w:val="clear" w:color="auto" w:fill="D9D9D9"/>
          </w:tcPr>
          <w:p>
            <w:pPr>
              <w:jc w:val="right"/>
              <w:ind w:right="49"/>
              <w:spacing w:after="0" w:line="119" w:lineRule="exact"/>
              <w:rPr>
                <w:sz w:val="20"/>
                <w:szCs w:val="20"/>
                <w:color w:val="auto"/>
              </w:rPr>
            </w:pPr>
            <w:r>
              <w:rPr>
                <w:rFonts w:ascii="Arial" w:cs="Arial" w:eastAsia="Arial" w:hAnsi="Arial"/>
                <w:sz w:val="13"/>
                <w:szCs w:val="13"/>
                <w:b w:val="1"/>
                <w:bCs w:val="1"/>
                <w:color w:val="auto"/>
              </w:rPr>
              <w:t>8,968</w:t>
            </w:r>
          </w:p>
        </w:tc>
        <w:tc>
          <w:tcPr>
            <w:tcW w:w="0" w:type="dxa"/>
            <w:vAlign w:val="bottom"/>
          </w:tcPr>
          <w:p>
            <w:pPr>
              <w:spacing w:after="0"/>
              <w:rPr>
                <w:sz w:val="1"/>
                <w:szCs w:val="1"/>
                <w:color w:val="auto"/>
              </w:rPr>
            </w:pPr>
          </w:p>
        </w:tc>
      </w:tr>
      <w:tr>
        <w:trPr>
          <w:trHeight w:val="144"/>
        </w:trPr>
        <w:tc>
          <w:tcPr>
            <w:tcW w:w="4020" w:type="dxa"/>
            <w:vAlign w:val="bottom"/>
          </w:tcPr>
          <w:p>
            <w:pPr>
              <w:spacing w:after="0" w:line="145" w:lineRule="exact"/>
              <w:rPr>
                <w:sz w:val="20"/>
                <w:szCs w:val="20"/>
                <w:color w:val="auto"/>
              </w:rPr>
            </w:pPr>
            <w:r>
              <w:rPr>
                <w:rFonts w:ascii="Arial" w:cs="Arial" w:eastAsia="Arial" w:hAnsi="Arial"/>
                <w:sz w:val="14"/>
                <w:szCs w:val="14"/>
                <w:color w:val="auto"/>
              </w:rPr>
              <w:t>Commodity sales</w:t>
            </w:r>
          </w:p>
        </w:tc>
        <w:tc>
          <w:tcPr>
            <w:tcW w:w="840" w:type="dxa"/>
            <w:vAlign w:val="bottom"/>
            <w:shd w:val="clear" w:color="auto" w:fill="D9D9D9"/>
          </w:tcPr>
          <w:p>
            <w:pPr>
              <w:jc w:val="right"/>
              <w:spacing w:after="0" w:line="145" w:lineRule="exact"/>
              <w:rPr>
                <w:sz w:val="20"/>
                <w:szCs w:val="20"/>
                <w:color w:val="auto"/>
              </w:rPr>
            </w:pPr>
            <w:r>
              <w:rPr>
                <w:rFonts w:ascii="Arial" w:cs="Arial" w:eastAsia="Arial" w:hAnsi="Arial"/>
                <w:sz w:val="14"/>
                <w:szCs w:val="14"/>
                <w:b w:val="1"/>
                <w:bCs w:val="1"/>
                <w:color w:val="auto"/>
              </w:rPr>
              <w:t>12,539</w:t>
            </w:r>
          </w:p>
        </w:tc>
        <w:tc>
          <w:tcPr>
            <w:tcW w:w="1380" w:type="dxa"/>
            <w:vAlign w:val="bottom"/>
            <w:shd w:val="clear" w:color="auto" w:fill="D9D9D9"/>
          </w:tcPr>
          <w:p>
            <w:pPr>
              <w:jc w:val="right"/>
              <w:ind w:right="48"/>
              <w:spacing w:after="0" w:line="145" w:lineRule="exact"/>
              <w:rPr>
                <w:sz w:val="20"/>
                <w:szCs w:val="20"/>
                <w:color w:val="auto"/>
              </w:rPr>
            </w:pPr>
            <w:r>
              <w:rPr>
                <w:rFonts w:ascii="Arial" w:cs="Arial" w:eastAsia="Arial" w:hAnsi="Arial"/>
                <w:sz w:val="14"/>
                <w:szCs w:val="14"/>
                <w:b w:val="1"/>
                <w:bCs w:val="1"/>
                <w:color w:val="auto"/>
              </w:rPr>
              <w:t>49</w:t>
            </w:r>
          </w:p>
        </w:tc>
        <w:tc>
          <w:tcPr>
            <w:tcW w:w="1320" w:type="dxa"/>
            <w:vAlign w:val="bottom"/>
            <w:shd w:val="clear" w:color="auto" w:fill="D9D9D9"/>
          </w:tcPr>
          <w:p>
            <w:pPr>
              <w:jc w:val="right"/>
              <w:ind w:right="188"/>
              <w:spacing w:after="0" w:line="145" w:lineRule="exact"/>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D9D9D9"/>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D9D9D9"/>
          </w:tcPr>
          <w:p>
            <w:pPr>
              <w:jc w:val="right"/>
              <w:ind w:right="208"/>
              <w:spacing w:after="0" w:line="145" w:lineRule="exact"/>
              <w:rPr>
                <w:sz w:val="20"/>
                <w:szCs w:val="20"/>
                <w:color w:val="auto"/>
              </w:rPr>
            </w:pPr>
            <w:r>
              <w:rPr>
                <w:rFonts w:ascii="Arial" w:cs="Arial" w:eastAsia="Arial" w:hAnsi="Arial"/>
                <w:sz w:val="14"/>
                <w:szCs w:val="14"/>
                <w:b w:val="1"/>
                <w:bCs w:val="1"/>
                <w:color w:val="auto"/>
              </w:rPr>
              <w:t>559</w:t>
            </w:r>
          </w:p>
        </w:tc>
        <w:tc>
          <w:tcPr>
            <w:tcW w:w="1180" w:type="dxa"/>
            <w:vAlign w:val="bottom"/>
            <w:shd w:val="clear" w:color="auto" w:fill="D9D9D9"/>
          </w:tcPr>
          <w:p>
            <w:pPr>
              <w:jc w:val="right"/>
              <w:ind w:right="49"/>
              <w:spacing w:after="0" w:line="145" w:lineRule="exact"/>
              <w:rPr>
                <w:sz w:val="20"/>
                <w:szCs w:val="20"/>
                <w:color w:val="auto"/>
              </w:rPr>
            </w:pPr>
            <w:r>
              <w:rPr>
                <w:rFonts w:ascii="Arial" w:cs="Arial" w:eastAsia="Arial" w:hAnsi="Arial"/>
                <w:sz w:val="14"/>
                <w:szCs w:val="14"/>
                <w:b w:val="1"/>
                <w:bCs w:val="1"/>
                <w:color w:val="auto"/>
              </w:rPr>
              <w:t>13,147</w:t>
            </w:r>
          </w:p>
        </w:tc>
        <w:tc>
          <w:tcPr>
            <w:tcW w:w="0" w:type="dxa"/>
            <w:vAlign w:val="bottom"/>
          </w:tcPr>
          <w:p>
            <w:pPr>
              <w:spacing w:after="0"/>
              <w:rPr>
                <w:sz w:val="1"/>
                <w:szCs w:val="1"/>
                <w:color w:val="auto"/>
              </w:rPr>
            </w:pPr>
          </w:p>
        </w:tc>
      </w:tr>
      <w:tr>
        <w:trPr>
          <w:trHeight w:val="153"/>
        </w:trPr>
        <w:tc>
          <w:tcPr>
            <w:tcW w:w="4020" w:type="dxa"/>
            <w:vAlign w:val="bottom"/>
          </w:tcPr>
          <w:p>
            <w:pPr>
              <w:spacing w:after="0" w:line="153" w:lineRule="exact"/>
              <w:rPr>
                <w:sz w:val="20"/>
                <w:szCs w:val="20"/>
                <w:color w:val="auto"/>
              </w:rPr>
            </w:pPr>
            <w:r>
              <w:rPr>
                <w:rFonts w:ascii="Arial" w:cs="Arial" w:eastAsia="Arial" w:hAnsi="Arial"/>
                <w:sz w:val="14"/>
                <w:szCs w:val="14"/>
                <w:color w:val="auto"/>
              </w:rPr>
              <w:t>Other revenue</w:t>
            </w:r>
            <w:r>
              <w:rPr>
                <w:rFonts w:ascii="Arial" w:cs="Arial" w:eastAsia="Arial" w:hAnsi="Arial"/>
                <w:sz w:val="17"/>
                <w:szCs w:val="17"/>
                <w:color w:val="auto"/>
                <w:vertAlign w:val="superscript"/>
              </w:rPr>
              <w:t>1,2</w:t>
            </w:r>
          </w:p>
        </w:tc>
        <w:tc>
          <w:tcPr>
            <w:tcW w:w="840" w:type="dxa"/>
            <w:vAlign w:val="bottom"/>
            <w:shd w:val="clear" w:color="auto" w:fill="D9D9D9"/>
          </w:tcPr>
          <w:p>
            <w:pPr>
              <w:jc w:val="right"/>
              <w:spacing w:after="0" w:line="153" w:lineRule="exact"/>
              <w:rPr>
                <w:sz w:val="20"/>
                <w:szCs w:val="20"/>
                <w:color w:val="auto"/>
              </w:rPr>
            </w:pPr>
            <w:r>
              <w:rPr>
                <w:rFonts w:ascii="Arial" w:cs="Arial" w:eastAsia="Arial" w:hAnsi="Arial"/>
                <w:sz w:val="14"/>
                <w:szCs w:val="14"/>
                <w:b w:val="1"/>
                <w:bCs w:val="1"/>
                <w:color w:val="auto"/>
              </w:rPr>
              <w:t>66</w:t>
            </w:r>
          </w:p>
        </w:tc>
        <w:tc>
          <w:tcPr>
            <w:tcW w:w="1380" w:type="dxa"/>
            <w:vAlign w:val="bottom"/>
            <w:shd w:val="clear" w:color="auto" w:fill="D9D9D9"/>
          </w:tcPr>
          <w:p>
            <w:pPr>
              <w:jc w:val="right"/>
              <w:ind w:right="48"/>
              <w:spacing w:after="0" w:line="153" w:lineRule="exact"/>
              <w:rPr>
                <w:sz w:val="20"/>
                <w:szCs w:val="20"/>
                <w:color w:val="auto"/>
              </w:rPr>
            </w:pPr>
            <w:r>
              <w:rPr>
                <w:rFonts w:ascii="Arial" w:cs="Arial" w:eastAsia="Arial" w:hAnsi="Arial"/>
                <w:sz w:val="14"/>
                <w:szCs w:val="14"/>
                <w:b w:val="1"/>
                <w:bCs w:val="1"/>
                <w:color w:val="auto"/>
              </w:rPr>
              <w:t>30</w:t>
            </w:r>
          </w:p>
        </w:tc>
        <w:tc>
          <w:tcPr>
            <w:tcW w:w="1320" w:type="dxa"/>
            <w:vAlign w:val="bottom"/>
            <w:shd w:val="clear" w:color="auto" w:fill="D9D9D9"/>
          </w:tcPr>
          <w:p>
            <w:pPr>
              <w:jc w:val="right"/>
              <w:ind w:right="188"/>
              <w:spacing w:after="0" w:line="153" w:lineRule="exact"/>
              <w:rPr>
                <w:sz w:val="20"/>
                <w:szCs w:val="20"/>
                <w:color w:val="auto"/>
              </w:rPr>
            </w:pPr>
            <w:r>
              <w:rPr>
                <w:rFonts w:ascii="Arial" w:cs="Arial" w:eastAsia="Arial" w:hAnsi="Arial"/>
                <w:sz w:val="14"/>
                <w:szCs w:val="14"/>
                <w:b w:val="1"/>
                <w:bCs w:val="1"/>
                <w:color w:val="auto"/>
              </w:rPr>
              <w:t>52</w:t>
            </w:r>
          </w:p>
        </w:tc>
        <w:tc>
          <w:tcPr>
            <w:tcW w:w="1060" w:type="dxa"/>
            <w:vAlign w:val="bottom"/>
            <w:shd w:val="clear" w:color="auto" w:fill="D9D9D9"/>
          </w:tcPr>
          <w:p>
            <w:pPr>
              <w:jc w:val="right"/>
              <w:spacing w:after="0" w:line="153" w:lineRule="exact"/>
              <w:rPr>
                <w:sz w:val="20"/>
                <w:szCs w:val="20"/>
                <w:color w:val="auto"/>
              </w:rPr>
            </w:pPr>
            <w:r>
              <w:rPr>
                <w:rFonts w:ascii="Arial" w:cs="Arial" w:eastAsia="Arial" w:hAnsi="Arial"/>
                <w:sz w:val="14"/>
                <w:szCs w:val="14"/>
                <w:b w:val="1"/>
                <w:bCs w:val="1"/>
                <w:color w:val="auto"/>
              </w:rPr>
              <w:t>94</w:t>
            </w:r>
          </w:p>
        </w:tc>
        <w:tc>
          <w:tcPr>
            <w:tcW w:w="1440" w:type="dxa"/>
            <w:vAlign w:val="bottom"/>
            <w:shd w:val="clear" w:color="auto" w:fill="D9D9D9"/>
          </w:tcPr>
          <w:p>
            <w:pPr>
              <w:jc w:val="right"/>
              <w:ind w:right="208"/>
              <w:spacing w:after="0" w:line="153" w:lineRule="exact"/>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D9D9D9"/>
          </w:tcPr>
          <w:p>
            <w:pPr>
              <w:jc w:val="right"/>
              <w:ind w:right="49"/>
              <w:spacing w:after="0" w:line="153" w:lineRule="exact"/>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r>
        <w:trPr>
          <w:trHeight w:val="171"/>
        </w:trPr>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Intersegment revenue</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b w:val="1"/>
                <w:bCs w:val="1"/>
                <w:color w:val="auto"/>
              </w:rPr>
              <w:t>6</w:t>
            </w:r>
          </w:p>
        </w:tc>
        <w:tc>
          <w:tcPr>
            <w:tcW w:w="1320" w:type="dxa"/>
            <w:vAlign w:val="bottom"/>
            <w:tcBorders>
              <w:bottom w:val="single" w:sz="8" w:color="auto"/>
            </w:tcBorders>
            <w:shd w:val="clear" w:color="auto" w:fill="D9D9D9"/>
          </w:tcPr>
          <w:p>
            <w:pPr>
              <w:jc w:val="right"/>
              <w:ind w:right="188"/>
              <w:spacing w:after="0"/>
              <w:rPr>
                <w:sz w:val="20"/>
                <w:szCs w:val="20"/>
                <w:color w:val="auto"/>
              </w:rPr>
            </w:pPr>
            <w:r>
              <w:rPr>
                <w:rFonts w:ascii="Arial" w:cs="Arial" w:eastAsia="Arial" w:hAnsi="Arial"/>
                <w:sz w:val="14"/>
                <w:szCs w:val="14"/>
                <w:b w:val="1"/>
                <w:bCs w:val="1"/>
                <w:color w:val="auto"/>
              </w:rPr>
              <w:t>18</w:t>
            </w: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3</w:t>
            </w:r>
          </w:p>
        </w:tc>
        <w:tc>
          <w:tcPr>
            <w:tcW w:w="1440" w:type="dxa"/>
            <w:vAlign w:val="bottom"/>
            <w:tcBorders>
              <w:bottom w:val="single" w:sz="8" w:color="auto"/>
            </w:tcBorders>
            <w:shd w:val="clear" w:color="auto" w:fill="D9D9D9"/>
          </w:tcPr>
          <w:p>
            <w:pPr>
              <w:jc w:val="right"/>
              <w:ind w:right="148"/>
              <w:spacing w:after="0"/>
              <w:rPr>
                <w:sz w:val="20"/>
                <w:szCs w:val="20"/>
                <w:color w:val="auto"/>
              </w:rPr>
            </w:pPr>
            <w:r>
              <w:rPr>
                <w:rFonts w:ascii="Arial" w:cs="Arial" w:eastAsia="Arial" w:hAnsi="Arial"/>
                <w:sz w:val="14"/>
                <w:szCs w:val="14"/>
                <w:b w:val="1"/>
                <w:bCs w:val="1"/>
                <w:color w:val="auto"/>
              </w:rPr>
              <w:t>(27)</w:t>
            </w:r>
          </w:p>
        </w:tc>
        <w:tc>
          <w:tcPr>
            <w:tcW w:w="1180" w:type="dxa"/>
            <w:vAlign w:val="bottom"/>
            <w:tcBorders>
              <w:bottom w:val="single" w:sz="8" w:color="auto"/>
            </w:tcBorders>
            <w:shd w:val="clear" w:color="auto" w:fill="D9D9D9"/>
          </w:tcPr>
          <w:p>
            <w:pPr>
              <w:jc w:val="right"/>
              <w:ind w:right="4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40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revenue</w:t>
            </w:r>
          </w:p>
        </w:tc>
        <w:tc>
          <w:tcPr>
            <w:tcW w:w="840" w:type="dxa"/>
            <w:vAlign w:val="bottom"/>
            <w:tcBorders>
              <w:bottom w:val="single" w:sz="8" w:color="auto"/>
            </w:tcBorders>
            <w:shd w:val="clear" w:color="auto" w:fill="D9D9D9"/>
          </w:tcPr>
          <w:p>
            <w:pPr>
              <w:jc w:val="right"/>
              <w:spacing w:after="0" w:line="142" w:lineRule="exact"/>
              <w:rPr>
                <w:sz w:val="20"/>
                <w:szCs w:val="20"/>
                <w:color w:val="auto"/>
              </w:rPr>
            </w:pPr>
            <w:r>
              <w:rPr>
                <w:rFonts w:ascii="Arial" w:cs="Arial" w:eastAsia="Arial" w:hAnsi="Arial"/>
                <w:sz w:val="14"/>
                <w:szCs w:val="14"/>
                <w:b w:val="1"/>
                <w:bCs w:val="1"/>
                <w:color w:val="auto"/>
              </w:rPr>
              <w:t>15,462</w:t>
            </w:r>
          </w:p>
        </w:tc>
        <w:tc>
          <w:tcPr>
            <w:tcW w:w="1380" w:type="dxa"/>
            <w:vAlign w:val="bottom"/>
            <w:tcBorders>
              <w:bottom w:val="single" w:sz="8" w:color="auto"/>
            </w:tcBorders>
            <w:shd w:val="clear" w:color="auto" w:fill="D9D9D9"/>
          </w:tcPr>
          <w:p>
            <w:pPr>
              <w:jc w:val="right"/>
              <w:ind w:right="48"/>
              <w:spacing w:after="0" w:line="142" w:lineRule="exact"/>
              <w:rPr>
                <w:sz w:val="20"/>
                <w:szCs w:val="20"/>
                <w:color w:val="auto"/>
              </w:rPr>
            </w:pPr>
            <w:r>
              <w:rPr>
                <w:rFonts w:ascii="Arial" w:cs="Arial" w:eastAsia="Arial" w:hAnsi="Arial"/>
                <w:sz w:val="14"/>
                <w:szCs w:val="14"/>
                <w:b w:val="1"/>
                <w:bCs w:val="1"/>
                <w:color w:val="auto"/>
              </w:rPr>
              <w:t>1,781</w:t>
            </w:r>
          </w:p>
        </w:tc>
        <w:tc>
          <w:tcPr>
            <w:tcW w:w="1320" w:type="dxa"/>
            <w:vAlign w:val="bottom"/>
            <w:tcBorders>
              <w:bottom w:val="single" w:sz="8" w:color="auto"/>
            </w:tcBorders>
            <w:shd w:val="clear" w:color="auto" w:fill="D9D9D9"/>
          </w:tcPr>
          <w:p>
            <w:pPr>
              <w:jc w:val="right"/>
              <w:ind w:right="188"/>
              <w:spacing w:after="0" w:line="142" w:lineRule="exact"/>
              <w:rPr>
                <w:sz w:val="20"/>
                <w:szCs w:val="20"/>
                <w:color w:val="auto"/>
              </w:rPr>
            </w:pPr>
            <w:r>
              <w:rPr>
                <w:rFonts w:ascii="Arial" w:cs="Arial" w:eastAsia="Arial" w:hAnsi="Arial"/>
                <w:sz w:val="14"/>
                <w:szCs w:val="14"/>
                <w:b w:val="1"/>
                <w:bCs w:val="1"/>
                <w:color w:val="auto"/>
              </w:rPr>
              <w:t>4,408</w:t>
            </w:r>
          </w:p>
        </w:tc>
        <w:tc>
          <w:tcPr>
            <w:tcW w:w="1060" w:type="dxa"/>
            <w:vAlign w:val="bottom"/>
            <w:tcBorders>
              <w:bottom w:val="single" w:sz="8" w:color="auto"/>
            </w:tcBorders>
            <w:shd w:val="clear" w:color="auto" w:fill="D9D9D9"/>
          </w:tcPr>
          <w:p>
            <w:pPr>
              <w:jc w:val="right"/>
              <w:spacing w:after="0" w:line="142" w:lineRule="exact"/>
              <w:rPr>
                <w:sz w:val="20"/>
                <w:szCs w:val="20"/>
                <w:color w:val="auto"/>
              </w:rPr>
            </w:pPr>
            <w:r>
              <w:rPr>
                <w:rFonts w:ascii="Arial" w:cs="Arial" w:eastAsia="Arial" w:hAnsi="Arial"/>
                <w:sz w:val="14"/>
                <w:szCs w:val="14"/>
                <w:b w:val="1"/>
                <w:bCs w:val="1"/>
                <w:color w:val="auto"/>
              </w:rPr>
              <w:t>174</w:t>
            </w:r>
          </w:p>
        </w:tc>
        <w:tc>
          <w:tcPr>
            <w:tcW w:w="1440" w:type="dxa"/>
            <w:vAlign w:val="bottom"/>
            <w:tcBorders>
              <w:bottom w:val="single" w:sz="8" w:color="auto"/>
            </w:tcBorders>
            <w:shd w:val="clear" w:color="auto" w:fill="D9D9D9"/>
          </w:tcPr>
          <w:p>
            <w:pPr>
              <w:jc w:val="right"/>
              <w:ind w:right="208"/>
              <w:spacing w:after="0" w:line="142" w:lineRule="exact"/>
              <w:rPr>
                <w:sz w:val="20"/>
                <w:szCs w:val="20"/>
                <w:color w:val="auto"/>
              </w:rPr>
            </w:pPr>
            <w:r>
              <w:rPr>
                <w:rFonts w:ascii="Arial" w:cs="Arial" w:eastAsia="Arial" w:hAnsi="Arial"/>
                <w:sz w:val="14"/>
                <w:szCs w:val="14"/>
                <w:b w:val="1"/>
                <w:bCs w:val="1"/>
                <w:color w:val="auto"/>
              </w:rPr>
              <w:t>532</w:t>
            </w:r>
          </w:p>
        </w:tc>
        <w:tc>
          <w:tcPr>
            <w:tcW w:w="1180" w:type="dxa"/>
            <w:vAlign w:val="bottom"/>
            <w:tcBorders>
              <w:bottom w:val="single" w:sz="8" w:color="auto"/>
            </w:tcBorders>
            <w:shd w:val="clear" w:color="auto" w:fill="D9D9D9"/>
          </w:tcPr>
          <w:p>
            <w:pPr>
              <w:jc w:val="right"/>
              <w:ind w:right="49"/>
              <w:spacing w:after="0" w:line="142" w:lineRule="exact"/>
              <w:rPr>
                <w:sz w:val="20"/>
                <w:szCs w:val="20"/>
                <w:color w:val="auto"/>
              </w:rPr>
            </w:pPr>
            <w:r>
              <w:rPr>
                <w:rFonts w:ascii="Arial" w:cs="Arial" w:eastAsia="Arial" w:hAnsi="Arial"/>
                <w:sz w:val="14"/>
                <w:szCs w:val="14"/>
                <w:b w:val="1"/>
                <w:bCs w:val="1"/>
                <w:color w:val="auto"/>
              </w:rPr>
              <w:t>22,357</w:t>
            </w:r>
          </w:p>
        </w:tc>
        <w:tc>
          <w:tcPr>
            <w:tcW w:w="0" w:type="dxa"/>
            <w:vAlign w:val="bottom"/>
          </w:tcPr>
          <w:p>
            <w:pPr>
              <w:spacing w:after="0"/>
              <w:rPr>
                <w:sz w:val="1"/>
                <w:szCs w:val="1"/>
                <w:color w:val="auto"/>
              </w:rPr>
            </w:pPr>
          </w:p>
        </w:tc>
      </w:tr>
      <w:tr>
        <w:trPr>
          <w:trHeight w:val="322"/>
        </w:trPr>
        <w:tc>
          <w:tcPr>
            <w:tcW w:w="4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Renewable</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20" w:type="dxa"/>
            <w:vAlign w:val="bottom"/>
            <w:vMerge w:val="restart"/>
          </w:tcPr>
          <w:p>
            <w:pPr>
              <w:spacing w:after="0"/>
              <w:rPr>
                <w:sz w:val="20"/>
                <w:szCs w:val="20"/>
                <w:color w:val="auto"/>
              </w:rPr>
            </w:pPr>
            <w:r>
              <w:rPr>
                <w:rFonts w:ascii="Arial" w:cs="Arial" w:eastAsia="Arial" w:hAnsi="Arial"/>
                <w:sz w:val="14"/>
                <w:szCs w:val="14"/>
                <w:color w:val="auto"/>
              </w:rPr>
              <w:t>Three months ended March 31, 2025</w:t>
            </w:r>
          </w:p>
        </w:tc>
        <w:tc>
          <w:tcPr>
            <w:tcW w:w="840" w:type="dxa"/>
            <w:vAlign w:val="bottom"/>
          </w:tcPr>
          <w:p>
            <w:pPr>
              <w:jc w:val="right"/>
              <w:spacing w:after="0"/>
              <w:rPr>
                <w:sz w:val="20"/>
                <w:szCs w:val="20"/>
                <w:color w:val="auto"/>
              </w:rPr>
            </w:pPr>
            <w:r>
              <w:rPr>
                <w:rFonts w:ascii="Arial" w:cs="Arial" w:eastAsia="Arial" w:hAnsi="Arial"/>
                <w:sz w:val="14"/>
                <w:szCs w:val="14"/>
                <w:color w:val="auto"/>
              </w:rPr>
              <w:t>Liquids</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Gas</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Gas Distribution</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Power</w:t>
            </w:r>
          </w:p>
        </w:tc>
        <w:tc>
          <w:tcPr>
            <w:tcW w:w="1440" w:type="dxa"/>
            <w:vAlign w:val="bottom"/>
          </w:tcPr>
          <w:p>
            <w:pPr>
              <w:jc w:val="right"/>
              <w:ind w:right="248"/>
              <w:spacing w:after="0"/>
              <w:rPr>
                <w:sz w:val="20"/>
                <w:szCs w:val="20"/>
                <w:color w:val="auto"/>
              </w:rPr>
            </w:pPr>
            <w:r>
              <w:rPr>
                <w:rFonts w:ascii="Arial" w:cs="Arial" w:eastAsia="Arial" w:hAnsi="Arial"/>
                <w:sz w:val="14"/>
                <w:szCs w:val="14"/>
                <w:color w:val="auto"/>
              </w:rPr>
              <w:t>Eliminations and</w:t>
            </w:r>
          </w:p>
        </w:tc>
        <w:tc>
          <w:tcPr>
            <w:tcW w:w="1180" w:type="dxa"/>
            <w:vAlign w:val="bottom"/>
            <w:vMerge w:val="restart"/>
          </w:tcPr>
          <w:p>
            <w:pPr>
              <w:jc w:val="right"/>
              <w:ind w:right="49"/>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1"/>
        </w:trPr>
        <w:tc>
          <w:tcPr>
            <w:tcW w:w="402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Pipelines</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Transmission</w:t>
            </w: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and Storage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Generation</w:t>
            </w:r>
          </w:p>
        </w:tc>
        <w:tc>
          <w:tcPr>
            <w:tcW w:w="14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Other</w:t>
            </w: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line="119" w:lineRule="exact"/>
              <w:rPr>
                <w:sz w:val="20"/>
                <w:szCs w:val="20"/>
                <w:color w:val="auto"/>
              </w:rPr>
            </w:pPr>
            <w:r>
              <w:rPr>
                <w:rFonts w:ascii="Arial" w:cs="Arial" w:eastAsia="Arial" w:hAnsi="Arial"/>
                <w:sz w:val="13"/>
                <w:szCs w:val="13"/>
                <w:i w:val="1"/>
                <w:iCs w:val="1"/>
                <w:color w:val="auto"/>
              </w:rPr>
              <w:t>(millions of Canadian dollars)</w:t>
            </w:r>
          </w:p>
        </w:tc>
        <w:tc>
          <w:tcPr>
            <w:tcW w:w="8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line="149" w:lineRule="exact"/>
              <w:rPr>
                <w:sz w:val="20"/>
                <w:szCs w:val="20"/>
                <w:color w:val="auto"/>
              </w:rPr>
            </w:pPr>
            <w:r>
              <w:rPr>
                <w:rFonts w:ascii="Arial" w:cs="Arial" w:eastAsia="Arial" w:hAnsi="Arial"/>
                <w:sz w:val="14"/>
                <w:szCs w:val="14"/>
                <w:color w:val="auto"/>
              </w:rPr>
              <w:t>Transportation revenue</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3,105</w:t>
            </w:r>
          </w:p>
        </w:tc>
        <w:tc>
          <w:tcPr>
            <w:tcW w:w="13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1,480</w:t>
            </w:r>
          </w:p>
        </w:tc>
        <w:tc>
          <w:tcPr>
            <w:tcW w:w="13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74</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49"/>
              <w:spacing w:after="0" w:line="149" w:lineRule="exact"/>
              <w:rPr>
                <w:sz w:val="20"/>
                <w:szCs w:val="20"/>
                <w:color w:val="auto"/>
              </w:rPr>
            </w:pPr>
            <w:r>
              <w:rPr>
                <w:rFonts w:ascii="Arial" w:cs="Arial" w:eastAsia="Arial" w:hAnsi="Arial"/>
                <w:sz w:val="14"/>
                <w:szCs w:val="14"/>
                <w:color w:val="auto"/>
              </w:rPr>
              <w:t>4,659</w:t>
            </w:r>
          </w:p>
        </w:tc>
        <w:tc>
          <w:tcPr>
            <w:tcW w:w="0" w:type="dxa"/>
            <w:vAlign w:val="bottom"/>
          </w:tcPr>
          <w:p>
            <w:pPr>
              <w:spacing w:after="0"/>
              <w:rPr>
                <w:sz w:val="1"/>
                <w:szCs w:val="1"/>
                <w:color w:val="auto"/>
              </w:rPr>
            </w:pPr>
          </w:p>
        </w:tc>
      </w:tr>
      <w:tr>
        <w:trPr>
          <w:trHeight w:val="148"/>
        </w:trPr>
        <w:tc>
          <w:tcPr>
            <w:tcW w:w="4020" w:type="dxa"/>
            <w:vAlign w:val="bottom"/>
          </w:tcPr>
          <w:p>
            <w:pPr>
              <w:spacing w:after="0" w:line="149" w:lineRule="exact"/>
              <w:rPr>
                <w:sz w:val="20"/>
                <w:szCs w:val="20"/>
                <w:color w:val="auto"/>
              </w:rPr>
            </w:pPr>
            <w:r>
              <w:rPr>
                <w:rFonts w:ascii="Arial" w:cs="Arial" w:eastAsia="Arial" w:hAnsi="Arial"/>
                <w:sz w:val="14"/>
                <w:szCs w:val="14"/>
                <w:color w:val="auto"/>
              </w:rPr>
              <w:t>Storage and other revenue</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13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173</w:t>
            </w:r>
          </w:p>
        </w:tc>
        <w:tc>
          <w:tcPr>
            <w:tcW w:w="13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157</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49"/>
              <w:spacing w:after="0" w:line="14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48"/>
        </w:trPr>
        <w:tc>
          <w:tcPr>
            <w:tcW w:w="4020" w:type="dxa"/>
            <w:vAlign w:val="bottom"/>
          </w:tcPr>
          <w:p>
            <w:pPr>
              <w:spacing w:after="0" w:line="149" w:lineRule="exact"/>
              <w:rPr>
                <w:sz w:val="20"/>
                <w:szCs w:val="20"/>
                <w:color w:val="auto"/>
              </w:rPr>
            </w:pPr>
            <w:r>
              <w:rPr>
                <w:rFonts w:ascii="Arial" w:cs="Arial" w:eastAsia="Arial" w:hAnsi="Arial"/>
                <w:sz w:val="14"/>
                <w:szCs w:val="14"/>
                <w:color w:val="auto"/>
              </w:rPr>
              <w:t>Gas distribution sales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3,654</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49"/>
              <w:spacing w:after="0" w:line="149" w:lineRule="exact"/>
              <w:rPr>
                <w:sz w:val="20"/>
                <w:szCs w:val="20"/>
                <w:color w:val="auto"/>
              </w:rPr>
            </w:pPr>
            <w:r>
              <w:rPr>
                <w:rFonts w:ascii="Arial" w:cs="Arial" w:eastAsia="Arial" w:hAnsi="Arial"/>
                <w:sz w:val="14"/>
                <w:szCs w:val="14"/>
                <w:color w:val="auto"/>
              </w:rPr>
              <w:t>3,654</w:t>
            </w:r>
          </w:p>
        </w:tc>
        <w:tc>
          <w:tcPr>
            <w:tcW w:w="0" w:type="dxa"/>
            <w:vAlign w:val="bottom"/>
          </w:tcPr>
          <w:p>
            <w:pPr>
              <w:spacing w:after="0"/>
              <w:rPr>
                <w:sz w:val="1"/>
                <w:szCs w:val="1"/>
                <w:color w:val="auto"/>
              </w:rPr>
            </w:pPr>
          </w:p>
        </w:tc>
      </w:tr>
      <w:tr>
        <w:trPr>
          <w:trHeight w:val="148"/>
        </w:trPr>
        <w:tc>
          <w:tcPr>
            <w:tcW w:w="4020" w:type="dxa"/>
            <w:vAlign w:val="bottom"/>
          </w:tcPr>
          <w:p>
            <w:pPr>
              <w:spacing w:after="0" w:line="149" w:lineRule="exact"/>
              <w:rPr>
                <w:sz w:val="20"/>
                <w:szCs w:val="20"/>
                <w:color w:val="auto"/>
              </w:rPr>
            </w:pPr>
            <w:r>
              <w:rPr>
                <w:rFonts w:ascii="Arial" w:cs="Arial" w:eastAsia="Arial" w:hAnsi="Arial"/>
                <w:sz w:val="14"/>
                <w:szCs w:val="14"/>
                <w:color w:val="auto"/>
              </w:rPr>
              <w:t>Electricity revenue</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144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49"/>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1"/>
        </w:trPr>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Commodity sales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19"/>
        </w:trPr>
        <w:tc>
          <w:tcPr>
            <w:tcW w:w="4020" w:type="dxa"/>
            <w:vAlign w:val="bottom"/>
          </w:tcPr>
          <w:p>
            <w:pPr>
              <w:spacing w:after="0" w:line="119" w:lineRule="exact"/>
              <w:rPr>
                <w:sz w:val="20"/>
                <w:szCs w:val="20"/>
                <w:color w:val="auto"/>
              </w:rPr>
            </w:pPr>
            <w:r>
              <w:rPr>
                <w:rFonts w:ascii="Arial" w:cs="Arial" w:eastAsia="Arial" w:hAnsi="Arial"/>
                <w:sz w:val="13"/>
                <w:szCs w:val="13"/>
                <w:color w:val="auto"/>
              </w:rPr>
              <w:t>Total revenue from contracts with customers</w:t>
            </w:r>
          </w:p>
        </w:tc>
        <w:tc>
          <w:tcPr>
            <w:tcW w:w="840" w:type="dxa"/>
            <w:vAlign w:val="bottom"/>
          </w:tcPr>
          <w:p>
            <w:pPr>
              <w:jc w:val="right"/>
              <w:spacing w:after="0" w:line="119" w:lineRule="exact"/>
              <w:rPr>
                <w:sz w:val="20"/>
                <w:szCs w:val="20"/>
                <w:color w:val="auto"/>
              </w:rPr>
            </w:pPr>
            <w:r>
              <w:rPr>
                <w:rFonts w:ascii="Arial" w:cs="Arial" w:eastAsia="Arial" w:hAnsi="Arial"/>
                <w:sz w:val="13"/>
                <w:szCs w:val="13"/>
                <w:color w:val="auto"/>
              </w:rPr>
              <w:t>3,173</w:t>
            </w:r>
          </w:p>
        </w:tc>
        <w:tc>
          <w:tcPr>
            <w:tcW w:w="1380" w:type="dxa"/>
            <w:vAlign w:val="bottom"/>
          </w:tcPr>
          <w:p>
            <w:pPr>
              <w:jc w:val="right"/>
              <w:ind w:right="48"/>
              <w:spacing w:after="0" w:line="119" w:lineRule="exact"/>
              <w:rPr>
                <w:sz w:val="20"/>
                <w:szCs w:val="20"/>
                <w:color w:val="auto"/>
              </w:rPr>
            </w:pPr>
            <w:r>
              <w:rPr>
                <w:rFonts w:ascii="Arial" w:cs="Arial" w:eastAsia="Arial" w:hAnsi="Arial"/>
                <w:sz w:val="13"/>
                <w:szCs w:val="13"/>
                <w:color w:val="auto"/>
              </w:rPr>
              <w:t>1,677</w:t>
            </w:r>
          </w:p>
        </w:tc>
        <w:tc>
          <w:tcPr>
            <w:tcW w:w="1320" w:type="dxa"/>
            <w:vAlign w:val="bottom"/>
          </w:tcPr>
          <w:p>
            <w:pPr>
              <w:jc w:val="right"/>
              <w:ind w:right="188"/>
              <w:spacing w:after="0" w:line="119" w:lineRule="exact"/>
              <w:rPr>
                <w:sz w:val="20"/>
                <w:szCs w:val="20"/>
                <w:color w:val="auto"/>
              </w:rPr>
            </w:pPr>
            <w:r>
              <w:rPr>
                <w:rFonts w:ascii="Arial" w:cs="Arial" w:eastAsia="Arial" w:hAnsi="Arial"/>
                <w:sz w:val="13"/>
                <w:szCs w:val="13"/>
                <w:color w:val="auto"/>
              </w:rPr>
              <w:t>3,885</w:t>
            </w:r>
          </w:p>
        </w:tc>
        <w:tc>
          <w:tcPr>
            <w:tcW w:w="1060" w:type="dxa"/>
            <w:vAlign w:val="bottom"/>
          </w:tcPr>
          <w:p>
            <w:pPr>
              <w:jc w:val="right"/>
              <w:spacing w:after="0" w:line="119" w:lineRule="exact"/>
              <w:rPr>
                <w:sz w:val="20"/>
                <w:szCs w:val="20"/>
                <w:color w:val="auto"/>
              </w:rPr>
            </w:pPr>
            <w:r>
              <w:rPr>
                <w:rFonts w:ascii="Arial" w:cs="Arial" w:eastAsia="Arial" w:hAnsi="Arial"/>
                <w:sz w:val="13"/>
                <w:szCs w:val="13"/>
                <w:color w:val="auto"/>
              </w:rPr>
              <w:t>42</w:t>
            </w:r>
          </w:p>
        </w:tc>
        <w:tc>
          <w:tcPr>
            <w:tcW w:w="1440" w:type="dxa"/>
            <w:vAlign w:val="bottom"/>
          </w:tcPr>
          <w:p>
            <w:pPr>
              <w:jc w:val="right"/>
              <w:ind w:right="208"/>
              <w:spacing w:after="0" w:line="119"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49"/>
              <w:spacing w:after="0" w:line="119" w:lineRule="exact"/>
              <w:rPr>
                <w:sz w:val="20"/>
                <w:szCs w:val="20"/>
                <w:color w:val="auto"/>
              </w:rPr>
            </w:pPr>
            <w:r>
              <w:rPr>
                <w:rFonts w:ascii="Arial" w:cs="Arial" w:eastAsia="Arial" w:hAnsi="Arial"/>
                <w:sz w:val="13"/>
                <w:szCs w:val="13"/>
                <w:color w:val="auto"/>
              </w:rPr>
              <w:t>8,777</w:t>
            </w:r>
          </w:p>
        </w:tc>
        <w:tc>
          <w:tcPr>
            <w:tcW w:w="0" w:type="dxa"/>
            <w:vAlign w:val="bottom"/>
          </w:tcPr>
          <w:p>
            <w:pPr>
              <w:spacing w:after="0"/>
              <w:rPr>
                <w:sz w:val="1"/>
                <w:szCs w:val="1"/>
                <w:color w:val="auto"/>
              </w:rPr>
            </w:pPr>
          </w:p>
        </w:tc>
      </w:tr>
      <w:tr>
        <w:trPr>
          <w:trHeight w:val="144"/>
        </w:trPr>
        <w:tc>
          <w:tcPr>
            <w:tcW w:w="4020" w:type="dxa"/>
            <w:vAlign w:val="bottom"/>
          </w:tcPr>
          <w:p>
            <w:pPr>
              <w:spacing w:after="0" w:line="145" w:lineRule="exact"/>
              <w:rPr>
                <w:sz w:val="20"/>
                <w:szCs w:val="20"/>
                <w:color w:val="auto"/>
              </w:rPr>
            </w:pPr>
            <w:r>
              <w:rPr>
                <w:rFonts w:ascii="Arial" w:cs="Arial" w:eastAsia="Arial" w:hAnsi="Arial"/>
                <w:sz w:val="14"/>
                <w:szCs w:val="14"/>
                <w:color w:val="auto"/>
              </w:rPr>
              <w:t>Commodity sales</w:t>
            </w:r>
          </w:p>
        </w:tc>
        <w:tc>
          <w:tcPr>
            <w:tcW w:w="840" w:type="dxa"/>
            <w:vAlign w:val="bottom"/>
          </w:tcPr>
          <w:p>
            <w:pPr>
              <w:jc w:val="right"/>
              <w:spacing w:after="0" w:line="145" w:lineRule="exact"/>
              <w:rPr>
                <w:sz w:val="20"/>
                <w:szCs w:val="20"/>
                <w:color w:val="auto"/>
              </w:rPr>
            </w:pPr>
            <w:r>
              <w:rPr>
                <w:rFonts w:ascii="Arial" w:cs="Arial" w:eastAsia="Arial" w:hAnsi="Arial"/>
                <w:sz w:val="14"/>
                <w:szCs w:val="14"/>
                <w:color w:val="auto"/>
              </w:rPr>
              <w:t>8,934</w:t>
            </w:r>
          </w:p>
        </w:tc>
        <w:tc>
          <w:tcPr>
            <w:tcW w:w="1380" w:type="dxa"/>
            <w:vAlign w:val="bottom"/>
          </w:tcPr>
          <w:p>
            <w:pPr>
              <w:jc w:val="right"/>
              <w:ind w:right="48"/>
              <w:spacing w:after="0" w:line="145" w:lineRule="exact"/>
              <w:rPr>
                <w:sz w:val="20"/>
                <w:szCs w:val="20"/>
                <w:color w:val="auto"/>
              </w:rPr>
            </w:pPr>
            <w:r>
              <w:rPr>
                <w:rFonts w:ascii="Arial" w:cs="Arial" w:eastAsia="Arial" w:hAnsi="Arial"/>
                <w:sz w:val="14"/>
                <w:szCs w:val="14"/>
                <w:color w:val="auto"/>
              </w:rPr>
              <w:t>37</w:t>
            </w:r>
          </w:p>
        </w:tc>
        <w:tc>
          <w:tcPr>
            <w:tcW w:w="1320" w:type="dxa"/>
            <w:vAlign w:val="bottom"/>
          </w:tcPr>
          <w:p>
            <w:pPr>
              <w:jc w:val="right"/>
              <w:ind w:right="188"/>
              <w:spacing w:after="0" w:line="145"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40" w:type="dxa"/>
            <w:vAlign w:val="bottom"/>
          </w:tcPr>
          <w:p>
            <w:pPr>
              <w:jc w:val="right"/>
              <w:ind w:right="208"/>
              <w:spacing w:after="0" w:line="145" w:lineRule="exact"/>
              <w:rPr>
                <w:sz w:val="20"/>
                <w:szCs w:val="20"/>
                <w:color w:val="auto"/>
              </w:rPr>
            </w:pPr>
            <w:r>
              <w:rPr>
                <w:rFonts w:ascii="Arial" w:cs="Arial" w:eastAsia="Arial" w:hAnsi="Arial"/>
                <w:sz w:val="14"/>
                <w:szCs w:val="14"/>
                <w:color w:val="auto"/>
              </w:rPr>
              <w:t>554</w:t>
            </w:r>
          </w:p>
        </w:tc>
        <w:tc>
          <w:tcPr>
            <w:tcW w:w="1180" w:type="dxa"/>
            <w:vAlign w:val="bottom"/>
          </w:tcPr>
          <w:p>
            <w:pPr>
              <w:jc w:val="right"/>
              <w:ind w:right="49"/>
              <w:spacing w:after="0" w:line="145" w:lineRule="exact"/>
              <w:rPr>
                <w:sz w:val="20"/>
                <w:szCs w:val="20"/>
                <w:color w:val="auto"/>
              </w:rPr>
            </w:pPr>
            <w:r>
              <w:rPr>
                <w:rFonts w:ascii="Arial" w:cs="Arial" w:eastAsia="Arial" w:hAnsi="Arial"/>
                <w:sz w:val="14"/>
                <w:szCs w:val="14"/>
                <w:color w:val="auto"/>
              </w:rPr>
              <w:t>9,525</w:t>
            </w:r>
          </w:p>
        </w:tc>
        <w:tc>
          <w:tcPr>
            <w:tcW w:w="0" w:type="dxa"/>
            <w:vAlign w:val="bottom"/>
          </w:tcPr>
          <w:p>
            <w:pPr>
              <w:spacing w:after="0"/>
              <w:rPr>
                <w:sz w:val="1"/>
                <w:szCs w:val="1"/>
                <w:color w:val="auto"/>
              </w:rPr>
            </w:pPr>
          </w:p>
        </w:tc>
      </w:tr>
      <w:tr>
        <w:trPr>
          <w:trHeight w:val="153"/>
        </w:trPr>
        <w:tc>
          <w:tcPr>
            <w:tcW w:w="4020" w:type="dxa"/>
            <w:vAlign w:val="bottom"/>
          </w:tcPr>
          <w:p>
            <w:pPr>
              <w:spacing w:after="0" w:line="153" w:lineRule="exact"/>
              <w:rPr>
                <w:sz w:val="20"/>
                <w:szCs w:val="20"/>
                <w:color w:val="auto"/>
              </w:rPr>
            </w:pPr>
            <w:r>
              <w:rPr>
                <w:rFonts w:ascii="Arial" w:cs="Arial" w:eastAsia="Arial" w:hAnsi="Arial"/>
                <w:sz w:val="14"/>
                <w:szCs w:val="14"/>
                <w:color w:val="auto"/>
              </w:rPr>
              <w:t>Other revenue</w:t>
            </w:r>
            <w:r>
              <w:rPr>
                <w:rFonts w:ascii="Arial" w:cs="Arial" w:eastAsia="Arial" w:hAnsi="Arial"/>
                <w:sz w:val="17"/>
                <w:szCs w:val="17"/>
                <w:color w:val="auto"/>
                <w:vertAlign w:val="superscript"/>
              </w:rPr>
              <w:t>1,2</w:t>
            </w:r>
          </w:p>
        </w:tc>
        <w:tc>
          <w:tcPr>
            <w:tcW w:w="840" w:type="dxa"/>
            <w:vAlign w:val="bottom"/>
          </w:tcPr>
          <w:p>
            <w:pPr>
              <w:jc w:val="right"/>
              <w:spacing w:after="0" w:line="153" w:lineRule="exact"/>
              <w:rPr>
                <w:sz w:val="20"/>
                <w:szCs w:val="20"/>
                <w:color w:val="auto"/>
              </w:rPr>
            </w:pPr>
            <w:r>
              <w:rPr>
                <w:rFonts w:ascii="Arial" w:cs="Arial" w:eastAsia="Arial" w:hAnsi="Arial"/>
                <w:sz w:val="14"/>
                <w:szCs w:val="14"/>
                <w:color w:val="auto"/>
              </w:rPr>
              <w:t>77</w:t>
            </w:r>
          </w:p>
        </w:tc>
        <w:tc>
          <w:tcPr>
            <w:tcW w:w="1380" w:type="dxa"/>
            <w:vAlign w:val="bottom"/>
          </w:tcPr>
          <w:p>
            <w:pPr>
              <w:jc w:val="right"/>
              <w:spacing w:after="0" w:line="153" w:lineRule="exact"/>
              <w:rPr>
                <w:sz w:val="20"/>
                <w:szCs w:val="20"/>
                <w:color w:val="auto"/>
              </w:rPr>
            </w:pPr>
            <w:r>
              <w:rPr>
                <w:rFonts w:ascii="Arial" w:cs="Arial" w:eastAsia="Arial" w:hAnsi="Arial"/>
                <w:sz w:val="14"/>
                <w:szCs w:val="14"/>
                <w:color w:val="auto"/>
              </w:rPr>
              <w:t>(7)</w:t>
            </w:r>
          </w:p>
        </w:tc>
        <w:tc>
          <w:tcPr>
            <w:tcW w:w="1320" w:type="dxa"/>
            <w:vAlign w:val="bottom"/>
          </w:tcPr>
          <w:p>
            <w:pPr>
              <w:jc w:val="right"/>
              <w:ind w:right="188"/>
              <w:spacing w:after="0" w:line="153" w:lineRule="exact"/>
              <w:rPr>
                <w:sz w:val="20"/>
                <w:szCs w:val="20"/>
                <w:color w:val="auto"/>
              </w:rPr>
            </w:pPr>
            <w:r>
              <w:rPr>
                <w:rFonts w:ascii="Arial" w:cs="Arial" w:eastAsia="Arial" w:hAnsi="Arial"/>
                <w:sz w:val="14"/>
                <w:szCs w:val="14"/>
                <w:color w:val="auto"/>
              </w:rPr>
              <w:t>53</w:t>
            </w:r>
          </w:p>
        </w:tc>
        <w:tc>
          <w:tcPr>
            <w:tcW w:w="1060" w:type="dxa"/>
            <w:vAlign w:val="bottom"/>
          </w:tcPr>
          <w:p>
            <w:pPr>
              <w:jc w:val="right"/>
              <w:spacing w:after="0" w:line="153" w:lineRule="exact"/>
              <w:rPr>
                <w:sz w:val="20"/>
                <w:szCs w:val="20"/>
                <w:color w:val="auto"/>
              </w:rPr>
            </w:pPr>
            <w:r>
              <w:rPr>
                <w:rFonts w:ascii="Arial" w:cs="Arial" w:eastAsia="Arial" w:hAnsi="Arial"/>
                <w:sz w:val="14"/>
                <w:szCs w:val="14"/>
                <w:color w:val="auto"/>
              </w:rPr>
              <w:t>77</w:t>
            </w:r>
          </w:p>
        </w:tc>
        <w:tc>
          <w:tcPr>
            <w:tcW w:w="1440" w:type="dxa"/>
            <w:vAlign w:val="bottom"/>
          </w:tcPr>
          <w:p>
            <w:pPr>
              <w:jc w:val="right"/>
              <w:ind w:right="208"/>
              <w:spacing w:after="0" w:line="153"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49"/>
              <w:spacing w:after="0" w:line="153"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71"/>
        </w:trPr>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Intersegment revenue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(27)</w:t>
            </w: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0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revenue</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12,184</w:t>
            </w:r>
          </w:p>
        </w:tc>
        <w:tc>
          <w:tcPr>
            <w:tcW w:w="13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1,715</w:t>
            </w:r>
          </w:p>
        </w:tc>
        <w:tc>
          <w:tcPr>
            <w:tcW w:w="132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3,956</w:t>
            </w: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w:t>
            </w:r>
          </w:p>
        </w:tc>
        <w:tc>
          <w:tcPr>
            <w:tcW w:w="14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527</w:t>
            </w:r>
          </w:p>
        </w:tc>
        <w:tc>
          <w:tcPr>
            <w:tcW w:w="118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rPr>
              <w:t>18,502</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realized and unrealized gains and losses from our hedging program which for the three months ended March 31, 2026 were net nil (2025 - $99 million gain).</w:t>
      </w:r>
    </w:p>
    <w:p>
      <w:pPr>
        <w:spacing w:after="0" w:line="13" w:lineRule="exact"/>
        <w:rPr>
          <w:rFonts w:ascii="Arial" w:cs="Arial" w:eastAsia="Arial" w:hAnsi="Arial"/>
          <w:sz w:val="14"/>
          <w:szCs w:val="14"/>
          <w:i w:val="1"/>
          <w:iCs w:val="1"/>
          <w:color w:val="auto"/>
        </w:rPr>
      </w:pPr>
    </w:p>
    <w:p>
      <w:pPr>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2  Includes revenues from lease contracts for the three months ended March 31, 2026 and 2025 of $166 million and $158 million, respectively.</w:t>
      </w:r>
    </w:p>
    <w:p>
      <w:pPr>
        <w:spacing w:after="0" w:line="19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disaggregate revenues into categories which represent our principal performance obligations within each business segment. These revenue categories represent the most significant revenue streams in each segment and consequently are considered to be the most relevant revenue information for management to consider in evaluating performance.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7"/>
        </w:trPr>
        <w:tc>
          <w:tcPr>
            <w:tcW w:w="5740" w:type="dxa"/>
            <w:vAlign w:val="bottom"/>
          </w:tcPr>
          <w:p>
            <w:pPr>
              <w:spacing w:after="0"/>
              <w:rPr>
                <w:sz w:val="20"/>
                <w:szCs w:val="20"/>
                <w:color w:val="auto"/>
              </w:rPr>
            </w:pPr>
            <w:r>
              <w:rPr>
                <w:rFonts w:ascii="Arial" w:cs="Arial" w:eastAsia="Arial" w:hAnsi="Arial"/>
                <w:sz w:val="18"/>
                <w:szCs w:val="18"/>
                <w:b w:val="1"/>
                <w:bCs w:val="1"/>
                <w:color w:val="auto"/>
              </w:rPr>
              <w:t>Contract Balances</w:t>
            </w:r>
          </w:p>
        </w:tc>
        <w:tc>
          <w:tcPr>
            <w:tcW w:w="2240" w:type="dxa"/>
            <w:vAlign w:val="bottom"/>
            <w:vMerge w:val="restart"/>
          </w:tcPr>
          <w:p>
            <w:pPr>
              <w:jc w:val="right"/>
              <w:ind w:right="510"/>
              <w:spacing w:after="0"/>
              <w:rPr>
                <w:sz w:val="20"/>
                <w:szCs w:val="20"/>
                <w:color w:val="auto"/>
              </w:rPr>
            </w:pPr>
            <w:r>
              <w:rPr>
                <w:rFonts w:ascii="Arial" w:cs="Arial" w:eastAsia="Arial" w:hAnsi="Arial"/>
                <w:sz w:val="18"/>
                <w:szCs w:val="18"/>
                <w:color w:val="auto"/>
              </w:rPr>
              <w:t>Contract</w:t>
            </w:r>
          </w:p>
        </w:tc>
        <w:tc>
          <w:tcPr>
            <w:tcW w:w="1460" w:type="dxa"/>
            <w:vAlign w:val="bottom"/>
            <w:vMerge w:val="restart"/>
          </w:tcPr>
          <w:p>
            <w:pPr>
              <w:jc w:val="right"/>
              <w:ind w:right="130"/>
              <w:spacing w:after="0"/>
              <w:rPr>
                <w:sz w:val="20"/>
                <w:szCs w:val="20"/>
                <w:color w:val="auto"/>
              </w:rPr>
            </w:pPr>
            <w:r>
              <w:rPr>
                <w:rFonts w:ascii="Arial" w:cs="Arial" w:eastAsia="Arial" w:hAnsi="Arial"/>
                <w:sz w:val="18"/>
                <w:szCs w:val="18"/>
                <w:color w:val="auto"/>
              </w:rPr>
              <w:t>Contract</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574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1800" w:type="dxa"/>
            <w:vAlign w:val="bottom"/>
            <w:vMerge w:val="restart"/>
          </w:tcPr>
          <w:p>
            <w:pPr>
              <w:jc w:val="right"/>
              <w:ind w:right="50"/>
              <w:spacing w:after="0"/>
              <w:rPr>
                <w:sz w:val="20"/>
                <w:szCs w:val="20"/>
                <w:color w:val="auto"/>
              </w:rPr>
            </w:pPr>
            <w:r>
              <w:rPr>
                <w:rFonts w:ascii="Arial" w:cs="Arial" w:eastAsia="Arial" w:hAnsi="Arial"/>
                <w:sz w:val="18"/>
                <w:szCs w:val="18"/>
                <w:color w:val="auto"/>
              </w:rPr>
              <w:t>Contract Liabilities</w:t>
            </w:r>
          </w:p>
        </w:tc>
        <w:tc>
          <w:tcPr>
            <w:tcW w:w="0" w:type="dxa"/>
            <w:vAlign w:val="bottom"/>
          </w:tcPr>
          <w:p>
            <w:pPr>
              <w:spacing w:after="0"/>
              <w:rPr>
                <w:sz w:val="1"/>
                <w:szCs w:val="1"/>
                <w:color w:val="auto"/>
              </w:rPr>
            </w:pPr>
          </w:p>
        </w:tc>
      </w:tr>
      <w:tr>
        <w:trPr>
          <w:trHeight w:val="221"/>
        </w:trPr>
        <w:tc>
          <w:tcPr>
            <w:tcW w:w="57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Receivables</w:t>
            </w: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Assets</w:t>
            </w:r>
          </w:p>
        </w:tc>
        <w:tc>
          <w:tcPr>
            <w:tcW w:w="1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574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2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line="183" w:lineRule="exact"/>
              <w:rPr>
                <w:sz w:val="20"/>
                <w:szCs w:val="20"/>
                <w:color w:val="auto"/>
              </w:rPr>
            </w:pPr>
            <w:r>
              <w:rPr>
                <w:rFonts w:ascii="Arial" w:cs="Arial" w:eastAsia="Arial" w:hAnsi="Arial"/>
                <w:sz w:val="18"/>
                <w:szCs w:val="18"/>
                <w:color w:val="auto"/>
              </w:rPr>
              <w:t>Balance as at March 31, 2026</w:t>
            </w:r>
          </w:p>
        </w:tc>
        <w:tc>
          <w:tcPr>
            <w:tcW w:w="2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vMerge w:val="continue"/>
          </w:tcPr>
          <w:p>
            <w:pPr>
              <w:spacing w:after="0"/>
              <w:rPr>
                <w:sz w:val="14"/>
                <w:szCs w:val="14"/>
                <w:color w:val="auto"/>
              </w:rPr>
            </w:pPr>
          </w:p>
        </w:tc>
        <w:tc>
          <w:tcPr>
            <w:tcW w:w="2240" w:type="dxa"/>
            <w:vAlign w:val="bottom"/>
            <w:tcBorders>
              <w:bottom w:val="single" w:sz="8" w:color="D9D9D9"/>
            </w:tcBorders>
            <w:shd w:val="clear" w:color="auto" w:fill="D9D9D9"/>
          </w:tcPr>
          <w:p>
            <w:pPr>
              <w:jc w:val="right"/>
              <w:ind w:right="470"/>
              <w:spacing w:after="0" w:line="157" w:lineRule="exact"/>
              <w:rPr>
                <w:sz w:val="20"/>
                <w:szCs w:val="20"/>
                <w:color w:val="auto"/>
              </w:rPr>
            </w:pPr>
            <w:r>
              <w:rPr>
                <w:rFonts w:ascii="Arial" w:cs="Arial" w:eastAsia="Arial" w:hAnsi="Arial"/>
                <w:sz w:val="18"/>
                <w:szCs w:val="18"/>
                <w:b w:val="1"/>
                <w:bCs w:val="1"/>
                <w:color w:val="auto"/>
              </w:rPr>
              <w:t>3,915</w:t>
            </w:r>
          </w:p>
        </w:tc>
        <w:tc>
          <w:tcPr>
            <w:tcW w:w="1460" w:type="dxa"/>
            <w:vAlign w:val="bottom"/>
            <w:tcBorders>
              <w:bottom w:val="single" w:sz="8" w:color="D9D9D9"/>
            </w:tcBorders>
            <w:shd w:val="clear" w:color="auto" w:fill="D9D9D9"/>
          </w:tcPr>
          <w:p>
            <w:pPr>
              <w:jc w:val="right"/>
              <w:ind w:right="130"/>
              <w:spacing w:after="0" w:line="157" w:lineRule="exact"/>
              <w:rPr>
                <w:sz w:val="20"/>
                <w:szCs w:val="20"/>
                <w:color w:val="auto"/>
              </w:rPr>
            </w:pPr>
            <w:r>
              <w:rPr>
                <w:rFonts w:ascii="Arial" w:cs="Arial" w:eastAsia="Arial" w:hAnsi="Arial"/>
                <w:sz w:val="18"/>
                <w:szCs w:val="18"/>
                <w:b w:val="1"/>
                <w:bCs w:val="1"/>
                <w:color w:val="auto"/>
              </w:rPr>
              <w:t>213</w:t>
            </w:r>
          </w:p>
        </w:tc>
        <w:tc>
          <w:tcPr>
            <w:tcW w:w="1800" w:type="dxa"/>
            <w:vAlign w:val="bottom"/>
            <w:tcBorders>
              <w:bottom w:val="single" w:sz="8" w:color="D9D9D9"/>
            </w:tcBorders>
            <w:shd w:val="clear" w:color="auto" w:fill="D9D9D9"/>
          </w:tcPr>
          <w:p>
            <w:pPr>
              <w:jc w:val="right"/>
              <w:ind w:right="50"/>
              <w:spacing w:after="0" w:line="157" w:lineRule="exact"/>
              <w:rPr>
                <w:sz w:val="20"/>
                <w:szCs w:val="20"/>
                <w:color w:val="auto"/>
              </w:rPr>
            </w:pPr>
            <w:r>
              <w:rPr>
                <w:rFonts w:ascii="Arial" w:cs="Arial" w:eastAsia="Arial" w:hAnsi="Arial"/>
                <w:sz w:val="18"/>
                <w:szCs w:val="18"/>
                <w:b w:val="1"/>
                <w:bCs w:val="1"/>
                <w:color w:val="auto"/>
              </w:rPr>
              <w:t>2,561</w:t>
            </w:r>
          </w:p>
        </w:tc>
        <w:tc>
          <w:tcPr>
            <w:tcW w:w="0" w:type="dxa"/>
            <w:vAlign w:val="bottom"/>
          </w:tcPr>
          <w:p>
            <w:pPr>
              <w:spacing w:after="0"/>
              <w:rPr>
                <w:sz w:val="1"/>
                <w:szCs w:val="1"/>
                <w:color w:val="auto"/>
              </w:rPr>
            </w:pPr>
          </w:p>
        </w:tc>
      </w:tr>
      <w:tr>
        <w:trPr>
          <w:trHeight w:val="189"/>
        </w:trPr>
        <w:tc>
          <w:tcPr>
            <w:tcW w:w="574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Balance as at December 31, 2025</w:t>
            </w:r>
          </w:p>
        </w:tc>
        <w:tc>
          <w:tcPr>
            <w:tcW w:w="2240" w:type="dxa"/>
            <w:vAlign w:val="bottom"/>
            <w:tcBorders>
              <w:bottom w:val="single" w:sz="8" w:color="auto"/>
            </w:tcBorders>
          </w:tcPr>
          <w:p>
            <w:pPr>
              <w:jc w:val="right"/>
              <w:ind w:right="470"/>
              <w:spacing w:after="0" w:line="189" w:lineRule="exact"/>
              <w:rPr>
                <w:sz w:val="20"/>
                <w:szCs w:val="20"/>
                <w:color w:val="auto"/>
              </w:rPr>
            </w:pPr>
            <w:r>
              <w:rPr>
                <w:rFonts w:ascii="Arial" w:cs="Arial" w:eastAsia="Arial" w:hAnsi="Arial"/>
                <w:sz w:val="18"/>
                <w:szCs w:val="18"/>
                <w:color w:val="auto"/>
              </w:rPr>
              <w:t>3,799</w:t>
            </w:r>
          </w:p>
        </w:tc>
        <w:tc>
          <w:tcPr>
            <w:tcW w:w="1460" w:type="dxa"/>
            <w:vAlign w:val="bottom"/>
            <w:tcBorders>
              <w:bottom w:val="single" w:sz="8" w:color="auto"/>
            </w:tcBorders>
          </w:tcPr>
          <w:p>
            <w:pPr>
              <w:jc w:val="right"/>
              <w:ind w:right="130"/>
              <w:spacing w:after="0" w:line="189" w:lineRule="exact"/>
              <w:rPr>
                <w:sz w:val="20"/>
                <w:szCs w:val="20"/>
                <w:color w:val="auto"/>
              </w:rPr>
            </w:pPr>
            <w:r>
              <w:rPr>
                <w:rFonts w:ascii="Arial" w:cs="Arial" w:eastAsia="Arial" w:hAnsi="Arial"/>
                <w:sz w:val="18"/>
                <w:szCs w:val="18"/>
                <w:color w:val="auto"/>
              </w:rPr>
              <w:t>315</w:t>
            </w:r>
          </w:p>
        </w:tc>
        <w:tc>
          <w:tcPr>
            <w:tcW w:w="180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Contract receivables represent the amount of receivables derived from contracts with customers.</w:t>
      </w:r>
    </w:p>
    <w:p>
      <w:pPr>
        <w:spacing w:after="0" w:line="198"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color w:val="auto"/>
        </w:rPr>
        <w:t>Contract assets represent the amount of revenues which have been recognized in advance of payments received for performance obligations we have fulfilled (or have partially fulfilled) and prior to the point in time at which our right to payment is unconditional. Amounts included in contract assets are transferred to accounts receivable when our right to receive the consideration becomes unconditional.</w:t>
      </w:r>
    </w:p>
    <w:p>
      <w:pPr>
        <w:spacing w:after="0" w:line="14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Contract liabilities represent payments received for performance obligations which have not been fulfilled. Contract liabilities primarily relate to make-up rights and deferred revenues. Revenues recognized during the three months ended March 31, 2026 included in contract liabilities at the beginning of the period were $248 million. Increases in contract liabilities from cash received, net of amounts recognized as revenues, during the three months ended March 31, 2026 were $121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14"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There were no material revenues recognized in the three months ended March 31, 2026 from performance obligations satisfied in previous periods.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to be Recognized from Unfulfilled Performance Obligations</w:t>
      </w:r>
    </w:p>
    <w:p>
      <w:pPr>
        <w:spacing w:after="0" w:line="2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Total revenues from performance obligations expected to be fulfilled in future periods is $57.2 billion, of which $7.3 billion and $8.1 billion are expected to be recognized during the remaining nine months ending December 31, 2026 and the year ending December 31, 2027, respectively.</w:t>
      </w:r>
    </w:p>
    <w:p>
      <w:pPr>
        <w:spacing w:after="0" w:line="179"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 revenues excluded from the amounts above based on optional exemptions available under ASC 606, as explained below, represent a significant portion of our overall revenues and revenues from contracts with customers. Certain revenues such as flow-through operating costs charged to shippers are recognized at the amount for which we have the right to invoice our customers and are excluded from the amounts for revenues to be recognized in the future from unfulfilled performance obligations above. Variable consideration is excluded from the amounts above due to the uncertainty of the associated consideration, which is generally resolved when actual volumes and prices are determined. For example, we consider interruptible transportation service revenues to be variable revenues since volumes cannot be estimated. Additionally, the effect of escalation on certain tolls which are contractually escalated for inflation has not been reflected in the amounts above as it is not possible to reliably estimate future inflation rates. Revenues for periods extending beyond the current rate settlement term for regulated contracts where the tolls are periodically reset by the regulator are excluded from the amounts above since future tolls remain unknown. Finally, revenues from contracts with customers which have an original expected duration of one year or less are excluded from the amounts above.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Recognition and Measurement of Revenues</w:t>
      </w:r>
    </w:p>
    <w:tbl>
      <w:tblPr>
        <w:tblLayout w:type="fixed"/>
        <w:tblInd w:w="0" w:type="dxa"/>
        <w:tblCellMar>
          <w:top w:w="0" w:type="dxa"/>
          <w:left w:w="0" w:type="dxa"/>
          <w:bottom w:w="0" w:type="dxa"/>
          <w:right w:w="0" w:type="dxa"/>
        </w:tblCellMar>
      </w:tblPr>
      <w:tr>
        <w:trPr>
          <w:trHeight w:val="154"/>
        </w:trPr>
        <w:tc>
          <w:tcPr>
            <w:tcW w:w="5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20" w:type="dxa"/>
            <w:vAlign w:val="bottom"/>
          </w:tcPr>
          <w:p>
            <w:pPr>
              <w:jc w:val="right"/>
              <w:ind w:right="188"/>
              <w:spacing w:after="0" w:line="154" w:lineRule="exact"/>
              <w:rPr>
                <w:sz w:val="20"/>
                <w:szCs w:val="20"/>
                <w:color w:val="auto"/>
              </w:rPr>
            </w:pPr>
            <w:r>
              <w:rPr>
                <w:rFonts w:ascii="Arial" w:cs="Arial" w:eastAsia="Arial" w:hAnsi="Arial"/>
                <w:sz w:val="14"/>
                <w:szCs w:val="14"/>
                <w:color w:val="auto"/>
              </w:rPr>
              <w:t>Renewable</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Liquids</w:t>
            </w:r>
          </w:p>
        </w:tc>
        <w:tc>
          <w:tcPr>
            <w:tcW w:w="11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Gas</w:t>
            </w:r>
          </w:p>
        </w:tc>
        <w:tc>
          <w:tcPr>
            <w:tcW w:w="13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Gas Distribution</w:t>
            </w:r>
          </w:p>
        </w:tc>
        <w:tc>
          <w:tcPr>
            <w:tcW w:w="12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Power</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Three months ended March 31, 2026</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Pipelines</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Transmission</w:t>
            </w:r>
          </w:p>
        </w:tc>
        <w:tc>
          <w:tcPr>
            <w:tcW w:w="1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and Storage</w:t>
            </w: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Generation</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19"/>
        </w:trPr>
        <w:tc>
          <w:tcPr>
            <w:tcW w:w="5420" w:type="dxa"/>
            <w:vAlign w:val="bottom"/>
          </w:tcPr>
          <w:p>
            <w:pPr>
              <w:spacing w:after="0" w:line="119" w:lineRule="exact"/>
              <w:rPr>
                <w:sz w:val="20"/>
                <w:szCs w:val="20"/>
                <w:color w:val="auto"/>
              </w:rPr>
            </w:pPr>
            <w:r>
              <w:rPr>
                <w:rFonts w:ascii="Arial" w:cs="Arial" w:eastAsia="Arial" w:hAnsi="Arial"/>
                <w:sz w:val="13"/>
                <w:szCs w:val="13"/>
                <w:i w:val="1"/>
                <w:iCs w:val="1"/>
                <w:color w:val="auto"/>
              </w:rPr>
              <w:t>(millions of Canadian dollars)</w:t>
            </w:r>
          </w:p>
        </w:tc>
        <w:tc>
          <w:tcPr>
            <w:tcW w:w="920" w:type="dxa"/>
            <w:vAlign w:val="bottom"/>
            <w:shd w:val="clear" w:color="auto" w:fill="DDDDDD"/>
          </w:tcPr>
          <w:p>
            <w:pPr>
              <w:spacing w:after="0"/>
              <w:rPr>
                <w:sz w:val="10"/>
                <w:szCs w:val="10"/>
                <w:color w:val="auto"/>
              </w:rPr>
            </w:pPr>
          </w:p>
        </w:tc>
        <w:tc>
          <w:tcPr>
            <w:tcW w:w="1140" w:type="dxa"/>
            <w:vAlign w:val="bottom"/>
            <w:shd w:val="clear" w:color="auto" w:fill="DDDDDD"/>
          </w:tcPr>
          <w:p>
            <w:pPr>
              <w:spacing w:after="0"/>
              <w:rPr>
                <w:sz w:val="10"/>
                <w:szCs w:val="10"/>
                <w:color w:val="auto"/>
              </w:rPr>
            </w:pPr>
          </w:p>
        </w:tc>
        <w:tc>
          <w:tcPr>
            <w:tcW w:w="1360" w:type="dxa"/>
            <w:vAlign w:val="bottom"/>
            <w:shd w:val="clear" w:color="auto" w:fill="DDDDDD"/>
          </w:tcPr>
          <w:p>
            <w:pPr>
              <w:spacing w:after="0"/>
              <w:rPr>
                <w:sz w:val="10"/>
                <w:szCs w:val="10"/>
                <w:color w:val="auto"/>
              </w:rPr>
            </w:pPr>
          </w:p>
        </w:tc>
        <w:tc>
          <w:tcPr>
            <w:tcW w:w="1220" w:type="dxa"/>
            <w:vAlign w:val="bottom"/>
            <w:shd w:val="clear" w:color="auto" w:fill="DDDDDD"/>
          </w:tcPr>
          <w:p>
            <w:pPr>
              <w:spacing w:after="0"/>
              <w:rPr>
                <w:sz w:val="10"/>
                <w:szCs w:val="10"/>
                <w:color w:val="auto"/>
              </w:rPr>
            </w:pPr>
          </w:p>
        </w:tc>
        <w:tc>
          <w:tcPr>
            <w:tcW w:w="1180" w:type="dxa"/>
            <w:vAlign w:val="bottom"/>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line="149" w:lineRule="exact"/>
              <w:rPr>
                <w:sz w:val="20"/>
                <w:szCs w:val="20"/>
                <w:color w:val="auto"/>
              </w:rPr>
            </w:pPr>
            <w:r>
              <w:rPr>
                <w:rFonts w:ascii="Arial" w:cs="Arial" w:eastAsia="Arial" w:hAnsi="Arial"/>
                <w:sz w:val="14"/>
                <w:szCs w:val="14"/>
                <w:color w:val="auto"/>
              </w:rPr>
              <w:t>Revenues from products transferred at a point in time</w:t>
            </w:r>
          </w:p>
        </w:tc>
        <w:tc>
          <w:tcPr>
            <w:tcW w:w="920" w:type="dxa"/>
            <w:vAlign w:val="bottom"/>
            <w:shd w:val="clear" w:color="auto" w:fill="DDDDDD"/>
          </w:tcPr>
          <w:p>
            <w:pPr>
              <w:jc w:val="right"/>
              <w:ind w:right="108"/>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DDDDDD"/>
          </w:tcPr>
          <w:p>
            <w:pPr>
              <w:jc w:val="right"/>
              <w:ind w:right="28"/>
              <w:spacing w:after="0" w:line="149" w:lineRule="exact"/>
              <w:rPr>
                <w:sz w:val="20"/>
                <w:szCs w:val="20"/>
                <w:color w:val="auto"/>
              </w:rPr>
            </w:pPr>
            <w:r>
              <w:rPr>
                <w:rFonts w:ascii="Arial" w:cs="Arial" w:eastAsia="Arial" w:hAnsi="Arial"/>
                <w:sz w:val="14"/>
                <w:szCs w:val="14"/>
                <w:b w:val="1"/>
                <w:bCs w:val="1"/>
                <w:color w:val="auto"/>
              </w:rPr>
              <w:t>38</w:t>
            </w:r>
          </w:p>
        </w:tc>
        <w:tc>
          <w:tcPr>
            <w:tcW w:w="1360" w:type="dxa"/>
            <w:vAlign w:val="bottom"/>
            <w:shd w:val="clear" w:color="auto" w:fill="DDDDDD"/>
          </w:tcPr>
          <w:p>
            <w:pPr>
              <w:jc w:val="right"/>
              <w:ind w:right="168"/>
              <w:spacing w:after="0" w:line="149" w:lineRule="exact"/>
              <w:rPr>
                <w:sz w:val="20"/>
                <w:szCs w:val="20"/>
                <w:color w:val="auto"/>
              </w:rPr>
            </w:pPr>
            <w:r>
              <w:rPr>
                <w:rFonts w:ascii="Arial" w:cs="Arial" w:eastAsia="Arial" w:hAnsi="Arial"/>
                <w:sz w:val="14"/>
                <w:szCs w:val="14"/>
                <w:b w:val="1"/>
                <w:bCs w:val="1"/>
                <w:color w:val="auto"/>
              </w:rPr>
              <w:t>36</w:t>
            </w:r>
          </w:p>
        </w:tc>
        <w:tc>
          <w:tcPr>
            <w:tcW w:w="1220" w:type="dxa"/>
            <w:vAlign w:val="bottom"/>
            <w:shd w:val="clear" w:color="auto" w:fill="DDDDDD"/>
          </w:tcPr>
          <w:p>
            <w:pPr>
              <w:jc w:val="right"/>
              <w:ind w:right="148"/>
              <w:spacing w:after="0" w:line="149" w:lineRule="exact"/>
              <w:rPr>
                <w:sz w:val="20"/>
                <w:szCs w:val="20"/>
                <w:color w:val="auto"/>
              </w:rPr>
            </w:pPr>
            <w:r>
              <w:rPr>
                <w:rFonts w:ascii="Arial" w:cs="Arial" w:eastAsia="Arial" w:hAnsi="Arial"/>
                <w:sz w:val="14"/>
                <w:szCs w:val="14"/>
                <w:b w:val="1"/>
                <w:bCs w:val="1"/>
                <w:color w:val="auto"/>
              </w:rPr>
              <w:t>22</w:t>
            </w:r>
          </w:p>
        </w:tc>
        <w:tc>
          <w:tcPr>
            <w:tcW w:w="118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171"/>
        </w:trPr>
        <w:tc>
          <w:tcPr>
            <w:tcW w:w="5420" w:type="dxa"/>
            <w:vAlign w:val="bottom"/>
            <w:tcBorders>
              <w:bottom w:val="single" w:sz="8" w:color="auto"/>
            </w:tcBorders>
          </w:tcPr>
          <w:p>
            <w:pPr>
              <w:spacing w:after="0" w:line="171" w:lineRule="exact"/>
              <w:rPr>
                <w:sz w:val="20"/>
                <w:szCs w:val="20"/>
                <w:color w:val="auto"/>
              </w:rPr>
            </w:pPr>
            <w:r>
              <w:rPr>
                <w:rFonts w:ascii="Arial" w:cs="Arial" w:eastAsia="Arial" w:hAnsi="Arial"/>
                <w:sz w:val="14"/>
                <w:szCs w:val="14"/>
                <w:color w:val="auto"/>
              </w:rPr>
              <w:t>Revenues from products and services transferred over time</w:t>
            </w:r>
            <w:r>
              <w:rPr>
                <w:rFonts w:ascii="Arial" w:cs="Arial" w:eastAsia="Arial" w:hAnsi="Arial"/>
                <w:sz w:val="18"/>
                <w:szCs w:val="18"/>
                <w:color w:val="auto"/>
                <w:vertAlign w:val="superscript"/>
              </w:rPr>
              <w:t>1</w:t>
            </w:r>
          </w:p>
        </w:tc>
        <w:tc>
          <w:tcPr>
            <w:tcW w:w="920" w:type="dxa"/>
            <w:vAlign w:val="bottom"/>
            <w:tcBorders>
              <w:bottom w:val="single" w:sz="8" w:color="auto"/>
            </w:tcBorders>
            <w:shd w:val="clear" w:color="auto" w:fill="DDDDDD"/>
          </w:tcPr>
          <w:p>
            <w:pPr>
              <w:jc w:val="right"/>
              <w:ind w:right="108"/>
              <w:spacing w:after="0"/>
              <w:rPr>
                <w:sz w:val="20"/>
                <w:szCs w:val="20"/>
                <w:color w:val="auto"/>
              </w:rPr>
            </w:pPr>
            <w:r>
              <w:rPr>
                <w:rFonts w:ascii="Arial" w:cs="Arial" w:eastAsia="Arial" w:hAnsi="Arial"/>
                <w:sz w:val="14"/>
                <w:szCs w:val="14"/>
                <w:b w:val="1"/>
                <w:bCs w:val="1"/>
                <w:color w:val="auto"/>
              </w:rPr>
              <w:t>2,857</w:t>
            </w:r>
          </w:p>
        </w:tc>
        <w:tc>
          <w:tcPr>
            <w:tcW w:w="1140" w:type="dxa"/>
            <w:vAlign w:val="bottom"/>
            <w:tcBorders>
              <w:bottom w:val="single" w:sz="8" w:color="auto"/>
            </w:tcBorders>
            <w:shd w:val="clear" w:color="auto" w:fill="DDDDDD"/>
          </w:tcPr>
          <w:p>
            <w:pPr>
              <w:jc w:val="right"/>
              <w:ind w:right="28"/>
              <w:spacing w:after="0"/>
              <w:rPr>
                <w:sz w:val="20"/>
                <w:szCs w:val="20"/>
                <w:color w:val="auto"/>
              </w:rPr>
            </w:pPr>
            <w:r>
              <w:rPr>
                <w:rFonts w:ascii="Arial" w:cs="Arial" w:eastAsia="Arial" w:hAnsi="Arial"/>
                <w:sz w:val="14"/>
                <w:szCs w:val="14"/>
                <w:b w:val="1"/>
                <w:bCs w:val="1"/>
                <w:color w:val="auto"/>
              </w:rPr>
              <w:t>1,658</w:t>
            </w:r>
          </w:p>
        </w:tc>
        <w:tc>
          <w:tcPr>
            <w:tcW w:w="1360" w:type="dxa"/>
            <w:vAlign w:val="bottom"/>
            <w:tcBorders>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b w:val="1"/>
                <w:bCs w:val="1"/>
                <w:color w:val="auto"/>
              </w:rPr>
              <w:t>4,302</w:t>
            </w:r>
          </w:p>
        </w:tc>
        <w:tc>
          <w:tcPr>
            <w:tcW w:w="1220" w:type="dxa"/>
            <w:vAlign w:val="bottom"/>
            <w:tcBorders>
              <w:bottom w:val="single" w:sz="8" w:color="auto"/>
            </w:tcBorders>
            <w:shd w:val="clear" w:color="auto" w:fill="DDDDDD"/>
          </w:tcPr>
          <w:p>
            <w:pPr>
              <w:jc w:val="right"/>
              <w:ind w:right="148"/>
              <w:spacing w:after="0"/>
              <w:rPr>
                <w:sz w:val="20"/>
                <w:szCs w:val="20"/>
                <w:color w:val="auto"/>
              </w:rPr>
            </w:pPr>
            <w:r>
              <w:rPr>
                <w:rFonts w:ascii="Arial" w:cs="Arial" w:eastAsia="Arial" w:hAnsi="Arial"/>
                <w:sz w:val="14"/>
                <w:szCs w:val="14"/>
                <w:b w:val="1"/>
                <w:bCs w:val="1"/>
                <w:color w:val="auto"/>
              </w:rPr>
              <w:t>55</w:t>
            </w:r>
          </w:p>
        </w:tc>
        <w:tc>
          <w:tcPr>
            <w:tcW w:w="118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auto"/>
              </w:rPr>
              <w:t>8,872</w:t>
            </w:r>
          </w:p>
        </w:tc>
        <w:tc>
          <w:tcPr>
            <w:tcW w:w="0" w:type="dxa"/>
            <w:vAlign w:val="bottom"/>
          </w:tcPr>
          <w:p>
            <w:pPr>
              <w:spacing w:after="0"/>
              <w:rPr>
                <w:sz w:val="1"/>
                <w:szCs w:val="1"/>
                <w:color w:val="auto"/>
              </w:rPr>
            </w:pPr>
          </w:p>
        </w:tc>
      </w:tr>
      <w:tr>
        <w:trPr>
          <w:trHeight w:val="142"/>
        </w:trPr>
        <w:tc>
          <w:tcPr>
            <w:tcW w:w="54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revenue from contracts with customers</w:t>
            </w:r>
          </w:p>
        </w:tc>
        <w:tc>
          <w:tcPr>
            <w:tcW w:w="920" w:type="dxa"/>
            <w:vAlign w:val="bottom"/>
            <w:tcBorders>
              <w:bottom w:val="single" w:sz="8" w:color="auto"/>
            </w:tcBorders>
            <w:shd w:val="clear" w:color="auto" w:fill="DDDDDD"/>
          </w:tcPr>
          <w:p>
            <w:pPr>
              <w:jc w:val="right"/>
              <w:ind w:right="108"/>
              <w:spacing w:after="0" w:line="142" w:lineRule="exact"/>
              <w:rPr>
                <w:sz w:val="20"/>
                <w:szCs w:val="20"/>
                <w:color w:val="auto"/>
              </w:rPr>
            </w:pPr>
            <w:r>
              <w:rPr>
                <w:rFonts w:ascii="Arial" w:cs="Arial" w:eastAsia="Arial" w:hAnsi="Arial"/>
                <w:sz w:val="14"/>
                <w:szCs w:val="14"/>
                <w:b w:val="1"/>
                <w:bCs w:val="1"/>
                <w:color w:val="auto"/>
              </w:rPr>
              <w:t>2,857</w:t>
            </w:r>
          </w:p>
        </w:tc>
        <w:tc>
          <w:tcPr>
            <w:tcW w:w="1140" w:type="dxa"/>
            <w:vAlign w:val="bottom"/>
            <w:tcBorders>
              <w:bottom w:val="single" w:sz="8" w:color="auto"/>
            </w:tcBorders>
            <w:shd w:val="clear" w:color="auto" w:fill="DDDDDD"/>
          </w:tcPr>
          <w:p>
            <w:pPr>
              <w:jc w:val="right"/>
              <w:ind w:right="28"/>
              <w:spacing w:after="0" w:line="142" w:lineRule="exact"/>
              <w:rPr>
                <w:sz w:val="20"/>
                <w:szCs w:val="20"/>
                <w:color w:val="auto"/>
              </w:rPr>
            </w:pPr>
            <w:r>
              <w:rPr>
                <w:rFonts w:ascii="Arial" w:cs="Arial" w:eastAsia="Arial" w:hAnsi="Arial"/>
                <w:sz w:val="14"/>
                <w:szCs w:val="14"/>
                <w:b w:val="1"/>
                <w:bCs w:val="1"/>
                <w:color w:val="auto"/>
              </w:rPr>
              <w:t>1,696</w:t>
            </w:r>
          </w:p>
        </w:tc>
        <w:tc>
          <w:tcPr>
            <w:tcW w:w="1360" w:type="dxa"/>
            <w:vAlign w:val="bottom"/>
            <w:tcBorders>
              <w:bottom w:val="single" w:sz="8" w:color="auto"/>
            </w:tcBorders>
            <w:shd w:val="clear" w:color="auto" w:fill="DDDDDD"/>
          </w:tcPr>
          <w:p>
            <w:pPr>
              <w:jc w:val="right"/>
              <w:ind w:right="168"/>
              <w:spacing w:after="0" w:line="142" w:lineRule="exact"/>
              <w:rPr>
                <w:sz w:val="20"/>
                <w:szCs w:val="20"/>
                <w:color w:val="auto"/>
              </w:rPr>
            </w:pPr>
            <w:r>
              <w:rPr>
                <w:rFonts w:ascii="Arial" w:cs="Arial" w:eastAsia="Arial" w:hAnsi="Arial"/>
                <w:sz w:val="14"/>
                <w:szCs w:val="14"/>
                <w:b w:val="1"/>
                <w:bCs w:val="1"/>
                <w:color w:val="auto"/>
              </w:rPr>
              <w:t>4,338</w:t>
            </w:r>
          </w:p>
        </w:tc>
        <w:tc>
          <w:tcPr>
            <w:tcW w:w="1220" w:type="dxa"/>
            <w:vAlign w:val="bottom"/>
            <w:tcBorders>
              <w:bottom w:val="single" w:sz="8" w:color="auto"/>
            </w:tcBorders>
            <w:shd w:val="clear" w:color="auto" w:fill="DDDDDD"/>
          </w:tcPr>
          <w:p>
            <w:pPr>
              <w:jc w:val="right"/>
              <w:ind w:right="148"/>
              <w:spacing w:after="0" w:line="142" w:lineRule="exact"/>
              <w:rPr>
                <w:sz w:val="20"/>
                <w:szCs w:val="20"/>
                <w:color w:val="auto"/>
              </w:rPr>
            </w:pPr>
            <w:r>
              <w:rPr>
                <w:rFonts w:ascii="Arial" w:cs="Arial" w:eastAsia="Arial" w:hAnsi="Arial"/>
                <w:sz w:val="14"/>
                <w:szCs w:val="14"/>
                <w:b w:val="1"/>
                <w:bCs w:val="1"/>
                <w:color w:val="auto"/>
              </w:rPr>
              <w:t>77</w:t>
            </w:r>
          </w:p>
        </w:tc>
        <w:tc>
          <w:tcPr>
            <w:tcW w:w="1180" w:type="dxa"/>
            <w:vAlign w:val="bottom"/>
            <w:tcBorders>
              <w:bottom w:val="single" w:sz="8" w:color="auto"/>
            </w:tcBorders>
            <w:shd w:val="clear" w:color="auto" w:fill="DDDDDD"/>
          </w:tcPr>
          <w:p>
            <w:pPr>
              <w:jc w:val="right"/>
              <w:ind w:right="48"/>
              <w:spacing w:after="0" w:line="142" w:lineRule="exact"/>
              <w:rPr>
                <w:sz w:val="20"/>
                <w:szCs w:val="20"/>
                <w:color w:val="auto"/>
              </w:rPr>
            </w:pPr>
            <w:r>
              <w:rPr>
                <w:rFonts w:ascii="Arial" w:cs="Arial" w:eastAsia="Arial" w:hAnsi="Arial"/>
                <w:sz w:val="14"/>
                <w:szCs w:val="14"/>
                <w:b w:val="1"/>
                <w:bCs w:val="1"/>
                <w:color w:val="auto"/>
              </w:rPr>
              <w:t>8,968</w:t>
            </w:r>
          </w:p>
        </w:tc>
        <w:tc>
          <w:tcPr>
            <w:tcW w:w="0" w:type="dxa"/>
            <w:vAlign w:val="bottom"/>
          </w:tcPr>
          <w:p>
            <w:pPr>
              <w:spacing w:after="0"/>
              <w:rPr>
                <w:sz w:val="1"/>
                <w:szCs w:val="1"/>
                <w:color w:val="auto"/>
              </w:rPr>
            </w:pPr>
          </w:p>
        </w:tc>
      </w:tr>
      <w:tr>
        <w:trPr>
          <w:trHeight w:val="335"/>
        </w:trPr>
        <w:tc>
          <w:tcPr>
            <w:tcW w:w="5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Renewable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420" w:type="dxa"/>
            <w:vAlign w:val="bottom"/>
            <w:vMerge w:val="restart"/>
          </w:tcPr>
          <w:p>
            <w:pPr>
              <w:spacing w:after="0"/>
              <w:rPr>
                <w:sz w:val="20"/>
                <w:szCs w:val="20"/>
                <w:color w:val="auto"/>
              </w:rPr>
            </w:pPr>
            <w:r>
              <w:rPr>
                <w:rFonts w:ascii="Arial" w:cs="Arial" w:eastAsia="Arial" w:hAnsi="Arial"/>
                <w:sz w:val="14"/>
                <w:szCs w:val="14"/>
                <w:color w:val="auto"/>
              </w:rPr>
              <w:t>Three months ended March 31, 2025</w:t>
            </w:r>
          </w:p>
        </w:tc>
        <w:tc>
          <w:tcPr>
            <w:tcW w:w="920" w:type="dxa"/>
            <w:vAlign w:val="bottom"/>
          </w:tcPr>
          <w:p>
            <w:pPr>
              <w:jc w:val="right"/>
              <w:ind w:right="148"/>
              <w:spacing w:after="0" w:line="158" w:lineRule="exact"/>
              <w:rPr>
                <w:sz w:val="20"/>
                <w:szCs w:val="20"/>
                <w:color w:val="auto"/>
              </w:rPr>
            </w:pPr>
            <w:r>
              <w:rPr>
                <w:rFonts w:ascii="Arial" w:cs="Arial" w:eastAsia="Arial" w:hAnsi="Arial"/>
                <w:sz w:val="14"/>
                <w:szCs w:val="14"/>
                <w:color w:val="auto"/>
              </w:rPr>
              <w:t>Liquids</w:t>
            </w:r>
          </w:p>
        </w:tc>
        <w:tc>
          <w:tcPr>
            <w:tcW w:w="1140" w:type="dxa"/>
            <w:vAlign w:val="bottom"/>
          </w:tcPr>
          <w:p>
            <w:pPr>
              <w:jc w:val="right"/>
              <w:ind w:right="68"/>
              <w:spacing w:after="0" w:line="158" w:lineRule="exact"/>
              <w:rPr>
                <w:sz w:val="20"/>
                <w:szCs w:val="20"/>
                <w:color w:val="auto"/>
              </w:rPr>
            </w:pPr>
            <w:r>
              <w:rPr>
                <w:rFonts w:ascii="Arial" w:cs="Arial" w:eastAsia="Arial" w:hAnsi="Arial"/>
                <w:sz w:val="14"/>
                <w:szCs w:val="14"/>
                <w:color w:val="auto"/>
              </w:rPr>
              <w:t>Gas</w:t>
            </w:r>
          </w:p>
        </w:tc>
        <w:tc>
          <w:tcPr>
            <w:tcW w:w="1360" w:type="dxa"/>
            <w:vAlign w:val="bottom"/>
          </w:tcPr>
          <w:p>
            <w:pPr>
              <w:jc w:val="right"/>
              <w:ind w:right="168"/>
              <w:spacing w:after="0" w:line="158" w:lineRule="exact"/>
              <w:rPr>
                <w:sz w:val="20"/>
                <w:szCs w:val="20"/>
                <w:color w:val="auto"/>
              </w:rPr>
            </w:pPr>
            <w:r>
              <w:rPr>
                <w:rFonts w:ascii="Arial" w:cs="Arial" w:eastAsia="Arial" w:hAnsi="Arial"/>
                <w:sz w:val="14"/>
                <w:szCs w:val="14"/>
                <w:color w:val="auto"/>
              </w:rPr>
              <w:t>Gas Distribution</w:t>
            </w:r>
          </w:p>
        </w:tc>
        <w:tc>
          <w:tcPr>
            <w:tcW w:w="1220" w:type="dxa"/>
            <w:vAlign w:val="bottom"/>
          </w:tcPr>
          <w:p>
            <w:pPr>
              <w:jc w:val="right"/>
              <w:ind w:right="188"/>
              <w:spacing w:after="0" w:line="158" w:lineRule="exact"/>
              <w:rPr>
                <w:sz w:val="20"/>
                <w:szCs w:val="20"/>
                <w:color w:val="auto"/>
              </w:rPr>
            </w:pPr>
            <w:r>
              <w:rPr>
                <w:rFonts w:ascii="Arial" w:cs="Arial" w:eastAsia="Arial" w:hAnsi="Arial"/>
                <w:sz w:val="14"/>
                <w:szCs w:val="14"/>
                <w:color w:val="auto"/>
              </w:rPr>
              <w:t>Power</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6"/>
        </w:trPr>
        <w:tc>
          <w:tcPr>
            <w:tcW w:w="54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Pipelines</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Transmission</w:t>
            </w:r>
          </w:p>
        </w:tc>
        <w:tc>
          <w:tcPr>
            <w:tcW w:w="1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and Storage</w:t>
            </w: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Generation</w:t>
            </w: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420" w:type="dxa"/>
            <w:vAlign w:val="bottom"/>
          </w:tcPr>
          <w:p>
            <w:pPr>
              <w:spacing w:after="0" w:line="119" w:lineRule="exact"/>
              <w:rPr>
                <w:sz w:val="20"/>
                <w:szCs w:val="20"/>
                <w:color w:val="auto"/>
              </w:rPr>
            </w:pPr>
            <w:r>
              <w:rPr>
                <w:rFonts w:ascii="Arial" w:cs="Arial" w:eastAsia="Arial" w:hAnsi="Arial"/>
                <w:sz w:val="13"/>
                <w:szCs w:val="13"/>
                <w:i w:val="1"/>
                <w:iCs w:val="1"/>
                <w:color w:val="auto"/>
              </w:rPr>
              <w:t>(millions of Canadian dollars)</w:t>
            </w:r>
          </w:p>
        </w:tc>
        <w:tc>
          <w:tcPr>
            <w:tcW w:w="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420" w:type="dxa"/>
            <w:vAlign w:val="bottom"/>
          </w:tcPr>
          <w:p>
            <w:pPr>
              <w:spacing w:after="0" w:line="145" w:lineRule="exact"/>
              <w:rPr>
                <w:sz w:val="20"/>
                <w:szCs w:val="20"/>
                <w:color w:val="auto"/>
              </w:rPr>
            </w:pPr>
            <w:r>
              <w:rPr>
                <w:rFonts w:ascii="Arial" w:cs="Arial" w:eastAsia="Arial" w:hAnsi="Arial"/>
                <w:sz w:val="14"/>
                <w:szCs w:val="14"/>
                <w:color w:val="auto"/>
              </w:rPr>
              <w:t>Revenues from products transferred at a point in time</w:t>
            </w:r>
          </w:p>
        </w:tc>
        <w:tc>
          <w:tcPr>
            <w:tcW w:w="920" w:type="dxa"/>
            <w:vAlign w:val="bottom"/>
          </w:tcPr>
          <w:p>
            <w:pPr>
              <w:jc w:val="right"/>
              <w:ind w:right="108"/>
              <w:spacing w:after="0" w:line="145"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line="145" w:lineRule="exact"/>
              <w:rPr>
                <w:sz w:val="20"/>
                <w:szCs w:val="20"/>
                <w:color w:val="auto"/>
              </w:rPr>
            </w:pPr>
            <w:r>
              <w:rPr>
                <w:rFonts w:ascii="Arial" w:cs="Arial" w:eastAsia="Arial" w:hAnsi="Arial"/>
                <w:sz w:val="14"/>
                <w:szCs w:val="14"/>
                <w:color w:val="auto"/>
              </w:rPr>
              <w:t>24</w:t>
            </w:r>
          </w:p>
        </w:tc>
        <w:tc>
          <w:tcPr>
            <w:tcW w:w="1360" w:type="dxa"/>
            <w:vAlign w:val="bottom"/>
          </w:tcPr>
          <w:p>
            <w:pPr>
              <w:jc w:val="right"/>
              <w:ind w:right="168"/>
              <w:spacing w:after="0" w:line="145" w:lineRule="exact"/>
              <w:rPr>
                <w:sz w:val="20"/>
                <w:szCs w:val="20"/>
                <w:color w:val="auto"/>
              </w:rPr>
            </w:pPr>
            <w:r>
              <w:rPr>
                <w:rFonts w:ascii="Arial" w:cs="Arial" w:eastAsia="Arial" w:hAnsi="Arial"/>
                <w:sz w:val="14"/>
                <w:szCs w:val="14"/>
                <w:color w:val="auto"/>
              </w:rPr>
              <w:t>36</w:t>
            </w:r>
          </w:p>
        </w:tc>
        <w:tc>
          <w:tcPr>
            <w:tcW w:w="1220" w:type="dxa"/>
            <w:vAlign w:val="bottom"/>
          </w:tcPr>
          <w:p>
            <w:pPr>
              <w:jc w:val="right"/>
              <w:ind w:right="148"/>
              <w:spacing w:after="0" w:line="145"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line="145"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5"/>
        </w:trPr>
        <w:tc>
          <w:tcPr>
            <w:tcW w:w="5420" w:type="dxa"/>
            <w:vAlign w:val="bottom"/>
            <w:tcBorders>
              <w:bottom w:val="single" w:sz="8" w:color="auto"/>
            </w:tcBorders>
          </w:tcPr>
          <w:p>
            <w:pPr>
              <w:spacing w:after="0" w:line="176" w:lineRule="exact"/>
              <w:rPr>
                <w:sz w:val="20"/>
                <w:szCs w:val="20"/>
                <w:color w:val="auto"/>
              </w:rPr>
            </w:pPr>
            <w:r>
              <w:rPr>
                <w:rFonts w:ascii="Arial" w:cs="Arial" w:eastAsia="Arial" w:hAnsi="Arial"/>
                <w:sz w:val="14"/>
                <w:szCs w:val="14"/>
                <w:color w:val="auto"/>
              </w:rPr>
              <w:t>Revenues from products and services transferred over time</w:t>
            </w:r>
            <w:r>
              <w:rPr>
                <w:rFonts w:ascii="Arial" w:cs="Arial" w:eastAsia="Arial" w:hAnsi="Arial"/>
                <w:sz w:val="18"/>
                <w:szCs w:val="18"/>
                <w:color w:val="auto"/>
                <w:vertAlign w:val="superscript"/>
              </w:rPr>
              <w:t>1</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3,173</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1,653</w:t>
            </w:r>
          </w:p>
        </w:tc>
        <w:tc>
          <w:tcPr>
            <w:tcW w:w="1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3,849</w:t>
            </w: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42</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8,717</w:t>
            </w:r>
          </w:p>
        </w:tc>
        <w:tc>
          <w:tcPr>
            <w:tcW w:w="0" w:type="dxa"/>
            <w:vAlign w:val="bottom"/>
          </w:tcPr>
          <w:p>
            <w:pPr>
              <w:spacing w:after="0"/>
              <w:rPr>
                <w:sz w:val="1"/>
                <w:szCs w:val="1"/>
                <w:color w:val="auto"/>
              </w:rPr>
            </w:pPr>
          </w:p>
        </w:tc>
      </w:tr>
      <w:tr>
        <w:trPr>
          <w:trHeight w:val="142"/>
        </w:trPr>
        <w:tc>
          <w:tcPr>
            <w:tcW w:w="54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revenue from contracts with customers</w:t>
            </w:r>
          </w:p>
        </w:tc>
        <w:tc>
          <w:tcPr>
            <w:tcW w:w="9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3,173</w:t>
            </w:r>
          </w:p>
        </w:tc>
        <w:tc>
          <w:tcPr>
            <w:tcW w:w="11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1,677</w:t>
            </w:r>
          </w:p>
        </w:tc>
        <w:tc>
          <w:tcPr>
            <w:tcW w:w="13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3,885</w:t>
            </w:r>
          </w:p>
        </w:tc>
        <w:tc>
          <w:tcPr>
            <w:tcW w:w="122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42</w:t>
            </w:r>
          </w:p>
        </w:tc>
        <w:tc>
          <w:tcPr>
            <w:tcW w:w="11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8,777</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80" w:right="560" w:hanging="172"/>
        <w:spacing w:after="0" w:line="282" w:lineRule="auto"/>
        <w:tabs>
          <w:tab w:leader="none" w:pos="1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Revenue from crude oil and natural gas pipeline transportation, storage, natural gas gathering, compression and treating, natural gas distribution, natural gas storage services and electricity sales.</w:t>
      </w:r>
    </w:p>
    <w:p>
      <w:pPr>
        <w:spacing w:after="0" w:line="12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4. SEGMENTED INFORMATION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jc w:val="right"/>
              <w:ind w:right="229"/>
              <w:spacing w:after="0"/>
              <w:rPr>
                <w:sz w:val="20"/>
                <w:szCs w:val="20"/>
                <w:color w:val="auto"/>
              </w:rPr>
            </w:pPr>
            <w:r>
              <w:rPr>
                <w:rFonts w:ascii="Arial" w:cs="Arial" w:eastAsia="Arial" w:hAnsi="Arial"/>
                <w:sz w:val="14"/>
                <w:szCs w:val="14"/>
                <w:color w:val="auto"/>
              </w:rPr>
              <w:t>Gas</w:t>
            </w:r>
          </w:p>
        </w:tc>
        <w:tc>
          <w:tcPr>
            <w:tcW w:w="1240" w:type="dxa"/>
            <w:vAlign w:val="bottom"/>
          </w:tcPr>
          <w:p>
            <w:pPr>
              <w:jc w:val="right"/>
              <w:ind w:right="229"/>
              <w:spacing w:after="0"/>
              <w:rPr>
                <w:sz w:val="20"/>
                <w:szCs w:val="20"/>
                <w:color w:val="auto"/>
              </w:rPr>
            </w:pPr>
            <w:r>
              <w:rPr>
                <w:rFonts w:ascii="Arial" w:cs="Arial" w:eastAsia="Arial" w:hAnsi="Arial"/>
                <w:sz w:val="14"/>
                <w:szCs w:val="14"/>
                <w:color w:val="auto"/>
              </w:rPr>
              <w:t>Renewable</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8"/>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2026</w:t>
            </w:r>
          </w:p>
        </w:tc>
        <w:tc>
          <w:tcPr>
            <w:tcW w:w="1220" w:type="dxa"/>
            <w:vAlign w:val="bottom"/>
          </w:tcPr>
          <w:p>
            <w:pPr>
              <w:jc w:val="right"/>
              <w:ind w:right="49"/>
              <w:spacing w:after="0" w:line="158" w:lineRule="exact"/>
              <w:rPr>
                <w:sz w:val="20"/>
                <w:szCs w:val="20"/>
                <w:color w:val="auto"/>
              </w:rPr>
            </w:pPr>
            <w:r>
              <w:rPr>
                <w:rFonts w:ascii="Arial" w:cs="Arial" w:eastAsia="Arial" w:hAnsi="Arial"/>
                <w:sz w:val="14"/>
                <w:szCs w:val="14"/>
                <w:color w:val="auto"/>
              </w:rPr>
              <w:t>Liquids</w:t>
            </w:r>
          </w:p>
        </w:tc>
        <w:tc>
          <w:tcPr>
            <w:tcW w:w="1340" w:type="dxa"/>
            <w:vAlign w:val="bottom"/>
          </w:tcPr>
          <w:p>
            <w:pPr>
              <w:jc w:val="right"/>
              <w:ind w:right="149"/>
              <w:spacing w:after="0" w:line="158" w:lineRule="exact"/>
              <w:rPr>
                <w:sz w:val="20"/>
                <w:szCs w:val="20"/>
                <w:color w:val="auto"/>
              </w:rPr>
            </w:pPr>
            <w:r>
              <w:rPr>
                <w:rFonts w:ascii="Arial" w:cs="Arial" w:eastAsia="Arial" w:hAnsi="Arial"/>
                <w:sz w:val="14"/>
                <w:szCs w:val="14"/>
                <w:color w:val="auto"/>
              </w:rPr>
              <w:t>Gas</w:t>
            </w:r>
          </w:p>
        </w:tc>
        <w:tc>
          <w:tcPr>
            <w:tcW w:w="1300" w:type="dxa"/>
            <w:vAlign w:val="bottom"/>
          </w:tcPr>
          <w:p>
            <w:pPr>
              <w:jc w:val="right"/>
              <w:ind w:right="229"/>
              <w:spacing w:after="0" w:line="158" w:lineRule="exact"/>
              <w:rPr>
                <w:sz w:val="20"/>
                <w:szCs w:val="20"/>
                <w:color w:val="auto"/>
              </w:rPr>
            </w:pPr>
            <w:r>
              <w:rPr>
                <w:rFonts w:ascii="Arial" w:cs="Arial" w:eastAsia="Arial" w:hAnsi="Arial"/>
                <w:sz w:val="14"/>
                <w:szCs w:val="14"/>
                <w:color w:val="auto"/>
              </w:rPr>
              <w:t>Distribution</w:t>
            </w:r>
          </w:p>
        </w:tc>
        <w:tc>
          <w:tcPr>
            <w:tcW w:w="1240" w:type="dxa"/>
            <w:vAlign w:val="bottom"/>
          </w:tcPr>
          <w:p>
            <w:pPr>
              <w:jc w:val="right"/>
              <w:ind w:right="229"/>
              <w:spacing w:after="0" w:line="158" w:lineRule="exact"/>
              <w:rPr>
                <w:sz w:val="20"/>
                <w:szCs w:val="20"/>
                <w:color w:val="auto"/>
              </w:rPr>
            </w:pPr>
            <w:r>
              <w:rPr>
                <w:rFonts w:ascii="Arial" w:cs="Arial" w:eastAsia="Arial" w:hAnsi="Arial"/>
                <w:sz w:val="14"/>
                <w:szCs w:val="14"/>
                <w:color w:val="auto"/>
              </w:rPr>
              <w:t>Power</w:t>
            </w:r>
          </w:p>
        </w:tc>
        <w:tc>
          <w:tcPr>
            <w:tcW w:w="1120" w:type="dxa"/>
            <w:vAlign w:val="bottom"/>
          </w:tcPr>
          <w:p>
            <w:pPr>
              <w:jc w:val="right"/>
              <w:ind w:right="88"/>
              <w:spacing w:after="0" w:line="158" w:lineRule="exact"/>
              <w:rPr>
                <w:sz w:val="20"/>
                <w:szCs w:val="20"/>
                <w:color w:val="auto"/>
              </w:rPr>
            </w:pPr>
            <w:r>
              <w:rPr>
                <w:rFonts w:ascii="Arial" w:cs="Arial" w:eastAsia="Arial" w:hAnsi="Arial"/>
                <w:sz w:val="14"/>
                <w:szCs w:val="14"/>
                <w:color w:val="auto"/>
              </w:rPr>
              <w:t>Reportable</w:t>
            </w:r>
          </w:p>
        </w:tc>
        <w:tc>
          <w:tcPr>
            <w:tcW w:w="0" w:type="dxa"/>
            <w:vAlign w:val="bottom"/>
          </w:tcPr>
          <w:p>
            <w:pPr>
              <w:spacing w:after="0"/>
              <w:rPr>
                <w:sz w:val="1"/>
                <w:szCs w:val="1"/>
                <w:color w:val="auto"/>
              </w:rPr>
            </w:pPr>
          </w:p>
        </w:tc>
      </w:tr>
      <w:tr>
        <w:trPr>
          <w:trHeight w:val="175"/>
        </w:trPr>
        <w:tc>
          <w:tcPr>
            <w:tcW w:w="502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Pipelines</w:t>
            </w:r>
          </w:p>
        </w:tc>
        <w:tc>
          <w:tcPr>
            <w:tcW w:w="13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Transmission</w:t>
            </w:r>
          </w:p>
        </w:tc>
        <w:tc>
          <w:tcPr>
            <w:tcW w:w="1300" w:type="dxa"/>
            <w:vAlign w:val="bottom"/>
            <w:tcBorders>
              <w:bottom w:val="single" w:sz="8" w:color="auto"/>
            </w:tcBorders>
          </w:tcPr>
          <w:p>
            <w:pPr>
              <w:jc w:val="right"/>
              <w:ind w:right="229"/>
              <w:spacing w:after="0" w:line="176" w:lineRule="exact"/>
              <w:rPr>
                <w:sz w:val="20"/>
                <w:szCs w:val="20"/>
                <w:color w:val="auto"/>
              </w:rPr>
            </w:pPr>
            <w:r>
              <w:rPr>
                <w:rFonts w:ascii="Arial" w:cs="Arial" w:eastAsia="Arial" w:hAnsi="Arial"/>
                <w:sz w:val="14"/>
                <w:szCs w:val="14"/>
                <w:color w:val="auto"/>
              </w:rPr>
              <w:t>and Storage</w:t>
            </w:r>
            <w:r>
              <w:rPr>
                <w:rFonts w:ascii="Arial" w:cs="Arial" w:eastAsia="Arial" w:hAnsi="Arial"/>
                <w:sz w:val="18"/>
                <w:szCs w:val="18"/>
                <w:color w:val="auto"/>
                <w:vertAlign w:val="superscript"/>
              </w:rPr>
              <w:t>1</w:t>
            </w:r>
          </w:p>
        </w:tc>
        <w:tc>
          <w:tcPr>
            <w:tcW w:w="12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Generation</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Segments</w:t>
            </w:r>
          </w:p>
        </w:tc>
        <w:tc>
          <w:tcPr>
            <w:tcW w:w="0" w:type="dxa"/>
            <w:vAlign w:val="bottom"/>
          </w:tcPr>
          <w:p>
            <w:pPr>
              <w:spacing w:after="0"/>
              <w:rPr>
                <w:sz w:val="1"/>
                <w:szCs w:val="1"/>
                <w:color w:val="auto"/>
              </w:rPr>
            </w:pPr>
          </w:p>
        </w:tc>
      </w:tr>
      <w:tr>
        <w:trPr>
          <w:trHeight w:val="106"/>
        </w:trPr>
        <w:tc>
          <w:tcPr>
            <w:tcW w:w="5020" w:type="dxa"/>
            <w:vAlign w:val="bottom"/>
          </w:tcPr>
          <w:p>
            <w:pPr>
              <w:spacing w:after="0" w:line="106" w:lineRule="exact"/>
              <w:rPr>
                <w:sz w:val="20"/>
                <w:szCs w:val="20"/>
                <w:color w:val="auto"/>
              </w:rPr>
            </w:pPr>
            <w:r>
              <w:rPr>
                <w:rFonts w:ascii="Arial" w:cs="Arial" w:eastAsia="Arial" w:hAnsi="Arial"/>
                <w:sz w:val="12"/>
                <w:szCs w:val="12"/>
                <w:i w:val="1"/>
                <w:iCs w:val="1"/>
                <w:color w:val="auto"/>
              </w:rPr>
              <w:t>(millions of Canadian dollars)</w:t>
            </w:r>
          </w:p>
        </w:tc>
        <w:tc>
          <w:tcPr>
            <w:tcW w:w="1220" w:type="dxa"/>
            <w:vAlign w:val="bottom"/>
            <w:shd w:val="clear" w:color="auto" w:fill="DDDDDD"/>
          </w:tcPr>
          <w:p>
            <w:pPr>
              <w:spacing w:after="0"/>
              <w:rPr>
                <w:sz w:val="9"/>
                <w:szCs w:val="9"/>
                <w:color w:val="auto"/>
              </w:rPr>
            </w:pPr>
          </w:p>
        </w:tc>
        <w:tc>
          <w:tcPr>
            <w:tcW w:w="1340" w:type="dxa"/>
            <w:vAlign w:val="bottom"/>
            <w:shd w:val="clear" w:color="auto" w:fill="DDDDDD"/>
          </w:tcPr>
          <w:p>
            <w:pPr>
              <w:spacing w:after="0"/>
              <w:rPr>
                <w:sz w:val="9"/>
                <w:szCs w:val="9"/>
                <w:color w:val="auto"/>
              </w:rPr>
            </w:pPr>
          </w:p>
        </w:tc>
        <w:tc>
          <w:tcPr>
            <w:tcW w:w="1300" w:type="dxa"/>
            <w:vAlign w:val="bottom"/>
            <w:shd w:val="clear" w:color="auto" w:fill="DDDDDD"/>
          </w:tcPr>
          <w:p>
            <w:pPr>
              <w:spacing w:after="0"/>
              <w:rPr>
                <w:sz w:val="9"/>
                <w:szCs w:val="9"/>
                <w:color w:val="auto"/>
              </w:rPr>
            </w:pPr>
          </w:p>
        </w:tc>
        <w:tc>
          <w:tcPr>
            <w:tcW w:w="1240" w:type="dxa"/>
            <w:vAlign w:val="bottom"/>
            <w:shd w:val="clear" w:color="auto" w:fill="DDDDDD"/>
          </w:tcPr>
          <w:p>
            <w:pPr>
              <w:spacing w:after="0"/>
              <w:rPr>
                <w:sz w:val="9"/>
                <w:szCs w:val="9"/>
                <w:color w:val="auto"/>
              </w:rPr>
            </w:pPr>
          </w:p>
        </w:tc>
        <w:tc>
          <w:tcPr>
            <w:tcW w:w="1120" w:type="dxa"/>
            <w:vAlign w:val="bottom"/>
            <w:shd w:val="clear" w:color="auto" w:fill="DDDDDD"/>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line="162" w:lineRule="exact"/>
              <w:rPr>
                <w:sz w:val="20"/>
                <w:szCs w:val="20"/>
                <w:color w:val="auto"/>
              </w:rPr>
            </w:pPr>
            <w:r>
              <w:rPr>
                <w:rFonts w:ascii="Arial" w:cs="Arial" w:eastAsia="Arial" w:hAnsi="Arial"/>
                <w:sz w:val="14"/>
                <w:szCs w:val="14"/>
                <w:color w:val="auto"/>
              </w:rPr>
              <w:t>Operating revenues</w:t>
            </w:r>
            <w:r>
              <w:rPr>
                <w:rFonts w:ascii="Arial" w:cs="Arial" w:eastAsia="Arial" w:hAnsi="Arial"/>
                <w:sz w:val="18"/>
                <w:szCs w:val="18"/>
                <w:color w:val="auto"/>
                <w:vertAlign w:val="superscript"/>
              </w:rPr>
              <w:t>2</w:t>
            </w:r>
          </w:p>
        </w:tc>
        <w:tc>
          <w:tcPr>
            <w:tcW w:w="1220" w:type="dxa"/>
            <w:vAlign w:val="bottom"/>
            <w:shd w:val="clear" w:color="auto" w:fill="DDDDDD"/>
          </w:tcPr>
          <w:p>
            <w:pPr>
              <w:jc w:val="right"/>
              <w:ind w:right="49"/>
              <w:spacing w:after="0"/>
              <w:rPr>
                <w:sz w:val="20"/>
                <w:szCs w:val="20"/>
                <w:color w:val="auto"/>
              </w:rPr>
            </w:pPr>
            <w:r>
              <w:rPr>
                <w:rFonts w:ascii="Arial" w:cs="Arial" w:eastAsia="Arial" w:hAnsi="Arial"/>
                <w:sz w:val="14"/>
                <w:szCs w:val="14"/>
                <w:b w:val="1"/>
                <w:bCs w:val="1"/>
                <w:color w:val="auto"/>
              </w:rPr>
              <w:t>15,462</w:t>
            </w:r>
          </w:p>
        </w:tc>
        <w:tc>
          <w:tcPr>
            <w:tcW w:w="1340" w:type="dxa"/>
            <w:vAlign w:val="bottom"/>
            <w:shd w:val="clear" w:color="auto" w:fill="DDDDDD"/>
          </w:tcPr>
          <w:p>
            <w:pPr>
              <w:jc w:val="right"/>
              <w:ind w:right="149"/>
              <w:spacing w:after="0"/>
              <w:rPr>
                <w:sz w:val="20"/>
                <w:szCs w:val="20"/>
                <w:color w:val="auto"/>
              </w:rPr>
            </w:pPr>
            <w:r>
              <w:rPr>
                <w:rFonts w:ascii="Arial" w:cs="Arial" w:eastAsia="Arial" w:hAnsi="Arial"/>
                <w:sz w:val="14"/>
                <w:szCs w:val="14"/>
                <w:b w:val="1"/>
                <w:bCs w:val="1"/>
                <w:color w:val="auto"/>
              </w:rPr>
              <w:t>1,781</w:t>
            </w:r>
          </w:p>
        </w:tc>
        <w:tc>
          <w:tcPr>
            <w:tcW w:w="1300" w:type="dxa"/>
            <w:vAlign w:val="bottom"/>
            <w:shd w:val="clear" w:color="auto" w:fill="DDDDDD"/>
          </w:tcPr>
          <w:p>
            <w:pPr>
              <w:jc w:val="right"/>
              <w:ind w:right="229"/>
              <w:spacing w:after="0"/>
              <w:rPr>
                <w:sz w:val="20"/>
                <w:szCs w:val="20"/>
                <w:color w:val="auto"/>
              </w:rPr>
            </w:pPr>
            <w:r>
              <w:rPr>
                <w:rFonts w:ascii="Arial" w:cs="Arial" w:eastAsia="Arial" w:hAnsi="Arial"/>
                <w:sz w:val="14"/>
                <w:szCs w:val="14"/>
                <w:b w:val="1"/>
                <w:bCs w:val="1"/>
                <w:color w:val="auto"/>
              </w:rPr>
              <w:t>4,408</w:t>
            </w:r>
          </w:p>
        </w:tc>
        <w:tc>
          <w:tcPr>
            <w:tcW w:w="1240" w:type="dxa"/>
            <w:vAlign w:val="bottom"/>
            <w:shd w:val="clear" w:color="auto" w:fill="DDDDDD"/>
          </w:tcPr>
          <w:p>
            <w:pPr>
              <w:jc w:val="right"/>
              <w:ind w:right="229"/>
              <w:spacing w:after="0"/>
              <w:rPr>
                <w:sz w:val="20"/>
                <w:szCs w:val="20"/>
                <w:color w:val="auto"/>
              </w:rPr>
            </w:pPr>
            <w:r>
              <w:rPr>
                <w:rFonts w:ascii="Arial" w:cs="Arial" w:eastAsia="Arial" w:hAnsi="Arial"/>
                <w:sz w:val="14"/>
                <w:szCs w:val="14"/>
                <w:b w:val="1"/>
                <w:bCs w:val="1"/>
                <w:color w:val="auto"/>
              </w:rPr>
              <w:t>174</w:t>
            </w:r>
          </w:p>
        </w:tc>
        <w:tc>
          <w:tcPr>
            <w:tcW w:w="1120" w:type="dxa"/>
            <w:vAlign w:val="bottom"/>
            <w:shd w:val="clear" w:color="auto" w:fill="DDDDDD"/>
          </w:tcPr>
          <w:p>
            <w:pPr>
              <w:jc w:val="right"/>
              <w:ind w:right="48"/>
              <w:spacing w:after="0"/>
              <w:rPr>
                <w:sz w:val="20"/>
                <w:szCs w:val="20"/>
                <w:color w:val="auto"/>
              </w:rPr>
            </w:pPr>
            <w:r>
              <w:rPr>
                <w:rFonts w:ascii="Arial" w:cs="Arial" w:eastAsia="Arial" w:hAnsi="Arial"/>
                <w:sz w:val="14"/>
                <w:szCs w:val="14"/>
                <w:b w:val="1"/>
                <w:bCs w:val="1"/>
                <w:color w:val="auto"/>
              </w:rPr>
              <w:t>21,825</w:t>
            </w:r>
          </w:p>
        </w:tc>
        <w:tc>
          <w:tcPr>
            <w:tcW w:w="0" w:type="dxa"/>
            <w:vAlign w:val="bottom"/>
          </w:tcPr>
          <w:p>
            <w:pPr>
              <w:spacing w:after="0"/>
              <w:rPr>
                <w:sz w:val="1"/>
                <w:szCs w:val="1"/>
                <w:color w:val="auto"/>
              </w:rPr>
            </w:pPr>
          </w:p>
        </w:tc>
      </w:tr>
      <w:tr>
        <w:trPr>
          <w:trHeight w:val="148"/>
        </w:trPr>
        <w:tc>
          <w:tcPr>
            <w:tcW w:w="5020" w:type="dxa"/>
            <w:vAlign w:val="bottom"/>
          </w:tcPr>
          <w:p>
            <w:pPr>
              <w:spacing w:after="0" w:line="149" w:lineRule="exact"/>
              <w:rPr>
                <w:sz w:val="20"/>
                <w:szCs w:val="20"/>
                <w:color w:val="auto"/>
              </w:rPr>
            </w:pPr>
            <w:r>
              <w:rPr>
                <w:rFonts w:ascii="Arial" w:cs="Arial" w:eastAsia="Arial" w:hAnsi="Arial"/>
                <w:sz w:val="14"/>
                <w:szCs w:val="14"/>
                <w:color w:val="auto"/>
              </w:rPr>
              <w:t>Commodity and gas distribution costs</w:t>
            </w:r>
          </w:p>
        </w:tc>
        <w:tc>
          <w:tcPr>
            <w:tcW w:w="1220" w:type="dxa"/>
            <w:vAlign w:val="bottom"/>
            <w:shd w:val="clear" w:color="auto" w:fill="DDDDDD"/>
          </w:tcPr>
          <w:p>
            <w:pPr>
              <w:jc w:val="right"/>
              <w:ind w:right="29"/>
              <w:spacing w:after="0" w:line="149" w:lineRule="exact"/>
              <w:rPr>
                <w:sz w:val="20"/>
                <w:szCs w:val="20"/>
                <w:color w:val="auto"/>
              </w:rPr>
            </w:pPr>
            <w:r>
              <w:rPr>
                <w:rFonts w:ascii="Arial" w:cs="Arial" w:eastAsia="Arial" w:hAnsi="Arial"/>
                <w:sz w:val="14"/>
                <w:szCs w:val="14"/>
                <w:b w:val="1"/>
                <w:bCs w:val="1"/>
                <w:color w:val="auto"/>
              </w:rPr>
              <w:t>(12,623)</w:t>
            </w:r>
          </w:p>
        </w:tc>
        <w:tc>
          <w:tcPr>
            <w:tcW w:w="1340" w:type="dxa"/>
            <w:vAlign w:val="bottom"/>
            <w:shd w:val="clear" w:color="auto" w:fill="DDDDDD"/>
          </w:tcPr>
          <w:p>
            <w:pPr>
              <w:jc w:val="right"/>
              <w:ind w:right="89"/>
              <w:spacing w:after="0" w:line="149" w:lineRule="exact"/>
              <w:rPr>
                <w:sz w:val="20"/>
                <w:szCs w:val="20"/>
                <w:color w:val="auto"/>
              </w:rPr>
            </w:pPr>
            <w:r>
              <w:rPr>
                <w:rFonts w:ascii="Arial" w:cs="Arial" w:eastAsia="Arial" w:hAnsi="Arial"/>
                <w:sz w:val="14"/>
                <w:szCs w:val="14"/>
                <w:b w:val="1"/>
                <w:bCs w:val="1"/>
                <w:color w:val="auto"/>
              </w:rPr>
              <w:t>(19)</w:t>
            </w:r>
          </w:p>
        </w:tc>
        <w:tc>
          <w:tcPr>
            <w:tcW w:w="1300" w:type="dxa"/>
            <w:vAlign w:val="bottom"/>
            <w:shd w:val="clear" w:color="auto" w:fill="DDDDDD"/>
          </w:tcPr>
          <w:p>
            <w:pPr>
              <w:jc w:val="right"/>
              <w:ind w:right="169"/>
              <w:spacing w:after="0" w:line="149" w:lineRule="exact"/>
              <w:rPr>
                <w:sz w:val="20"/>
                <w:szCs w:val="20"/>
                <w:color w:val="auto"/>
              </w:rPr>
            </w:pPr>
            <w:r>
              <w:rPr>
                <w:rFonts w:ascii="Arial" w:cs="Arial" w:eastAsia="Arial" w:hAnsi="Arial"/>
                <w:sz w:val="14"/>
                <w:szCs w:val="14"/>
                <w:b w:val="1"/>
                <w:bCs w:val="1"/>
                <w:color w:val="auto"/>
              </w:rPr>
              <w:t>(1,977)</w:t>
            </w:r>
          </w:p>
        </w:tc>
        <w:tc>
          <w:tcPr>
            <w:tcW w:w="1240" w:type="dxa"/>
            <w:vAlign w:val="bottom"/>
            <w:shd w:val="clear" w:color="auto" w:fill="DDDDDD"/>
          </w:tcPr>
          <w:p>
            <w:pPr>
              <w:jc w:val="right"/>
              <w:ind w:right="229"/>
              <w:spacing w:after="0" w:line="149" w:lineRule="exact"/>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(14,619)</w:t>
            </w:r>
          </w:p>
        </w:tc>
        <w:tc>
          <w:tcPr>
            <w:tcW w:w="0" w:type="dxa"/>
            <w:vAlign w:val="bottom"/>
          </w:tcPr>
          <w:p>
            <w:pPr>
              <w:spacing w:after="0"/>
              <w:rPr>
                <w:sz w:val="1"/>
                <w:szCs w:val="1"/>
                <w:color w:val="auto"/>
              </w:rPr>
            </w:pPr>
          </w:p>
        </w:tc>
      </w:tr>
      <w:tr>
        <w:trPr>
          <w:trHeight w:val="148"/>
        </w:trPr>
        <w:tc>
          <w:tcPr>
            <w:tcW w:w="5020" w:type="dxa"/>
            <w:vAlign w:val="bottom"/>
          </w:tcPr>
          <w:p>
            <w:pPr>
              <w:spacing w:after="0" w:line="149" w:lineRule="exact"/>
              <w:rPr>
                <w:sz w:val="20"/>
                <w:szCs w:val="20"/>
                <w:color w:val="auto"/>
              </w:rPr>
            </w:pPr>
            <w:r>
              <w:rPr>
                <w:rFonts w:ascii="Arial" w:cs="Arial" w:eastAsia="Arial" w:hAnsi="Arial"/>
                <w:sz w:val="14"/>
                <w:szCs w:val="14"/>
                <w:color w:val="auto"/>
              </w:rPr>
              <w:t>Operating and administrative</w:t>
            </w:r>
          </w:p>
        </w:tc>
        <w:tc>
          <w:tcPr>
            <w:tcW w:w="1220" w:type="dxa"/>
            <w:vAlign w:val="bottom"/>
            <w:shd w:val="clear" w:color="auto" w:fill="DDDDDD"/>
          </w:tcPr>
          <w:p>
            <w:pPr>
              <w:jc w:val="right"/>
              <w:ind w:right="29"/>
              <w:spacing w:after="0" w:line="149" w:lineRule="exact"/>
              <w:rPr>
                <w:sz w:val="20"/>
                <w:szCs w:val="20"/>
                <w:color w:val="auto"/>
              </w:rPr>
            </w:pPr>
            <w:r>
              <w:rPr>
                <w:rFonts w:ascii="Arial" w:cs="Arial" w:eastAsia="Arial" w:hAnsi="Arial"/>
                <w:sz w:val="14"/>
                <w:szCs w:val="14"/>
                <w:b w:val="1"/>
                <w:bCs w:val="1"/>
                <w:color w:val="auto"/>
              </w:rPr>
              <w:t>(1,107)</w:t>
            </w:r>
          </w:p>
        </w:tc>
        <w:tc>
          <w:tcPr>
            <w:tcW w:w="1340" w:type="dxa"/>
            <w:vAlign w:val="bottom"/>
            <w:shd w:val="clear" w:color="auto" w:fill="DDDDDD"/>
          </w:tcPr>
          <w:p>
            <w:pPr>
              <w:jc w:val="right"/>
              <w:ind w:right="89"/>
              <w:spacing w:after="0" w:line="149" w:lineRule="exact"/>
              <w:rPr>
                <w:sz w:val="20"/>
                <w:szCs w:val="20"/>
                <w:color w:val="auto"/>
              </w:rPr>
            </w:pPr>
            <w:r>
              <w:rPr>
                <w:rFonts w:ascii="Arial" w:cs="Arial" w:eastAsia="Arial" w:hAnsi="Arial"/>
                <w:sz w:val="14"/>
                <w:szCs w:val="14"/>
                <w:b w:val="1"/>
                <w:bCs w:val="1"/>
                <w:color w:val="auto"/>
              </w:rPr>
              <w:t>(551)</w:t>
            </w:r>
          </w:p>
        </w:tc>
        <w:tc>
          <w:tcPr>
            <w:tcW w:w="1300" w:type="dxa"/>
            <w:vAlign w:val="bottom"/>
            <w:shd w:val="clear" w:color="auto" w:fill="DDDDDD"/>
          </w:tcPr>
          <w:p>
            <w:pPr>
              <w:jc w:val="right"/>
              <w:ind w:right="169"/>
              <w:spacing w:after="0" w:line="149" w:lineRule="exact"/>
              <w:rPr>
                <w:sz w:val="20"/>
                <w:szCs w:val="20"/>
                <w:color w:val="auto"/>
              </w:rPr>
            </w:pPr>
            <w:r>
              <w:rPr>
                <w:rFonts w:ascii="Arial" w:cs="Arial" w:eastAsia="Arial" w:hAnsi="Arial"/>
                <w:sz w:val="14"/>
                <w:szCs w:val="14"/>
                <w:b w:val="1"/>
                <w:bCs w:val="1"/>
                <w:color w:val="auto"/>
              </w:rPr>
              <w:t>(774)</w:t>
            </w:r>
          </w:p>
        </w:tc>
        <w:tc>
          <w:tcPr>
            <w:tcW w:w="1240" w:type="dxa"/>
            <w:vAlign w:val="bottom"/>
            <w:shd w:val="clear" w:color="auto" w:fill="DDDDDD"/>
          </w:tcPr>
          <w:p>
            <w:pPr>
              <w:jc w:val="right"/>
              <w:ind w:right="169"/>
              <w:spacing w:after="0" w:line="149" w:lineRule="exact"/>
              <w:rPr>
                <w:sz w:val="20"/>
                <w:szCs w:val="20"/>
                <w:color w:val="auto"/>
              </w:rPr>
            </w:pPr>
            <w:r>
              <w:rPr>
                <w:rFonts w:ascii="Arial" w:cs="Arial" w:eastAsia="Arial" w:hAnsi="Arial"/>
                <w:sz w:val="14"/>
                <w:szCs w:val="14"/>
                <w:b w:val="1"/>
                <w:bCs w:val="1"/>
                <w:color w:val="auto"/>
              </w:rPr>
              <w:t>(86)</w:t>
            </w:r>
          </w:p>
        </w:tc>
        <w:tc>
          <w:tcPr>
            <w:tcW w:w="112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(2,518)</w:t>
            </w: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Income from equity investments</w:t>
            </w:r>
          </w:p>
        </w:tc>
        <w:tc>
          <w:tcPr>
            <w:tcW w:w="1220" w:type="dxa"/>
            <w:vAlign w:val="bottom"/>
            <w:shd w:val="clear" w:color="auto" w:fill="DDDDDD"/>
          </w:tcPr>
          <w:p>
            <w:pPr>
              <w:jc w:val="right"/>
              <w:ind w:right="49"/>
              <w:spacing w:after="0" w:line="149" w:lineRule="exact"/>
              <w:rPr>
                <w:sz w:val="20"/>
                <w:szCs w:val="20"/>
                <w:color w:val="auto"/>
              </w:rPr>
            </w:pPr>
            <w:r>
              <w:rPr>
                <w:rFonts w:ascii="Arial" w:cs="Arial" w:eastAsia="Arial" w:hAnsi="Arial"/>
                <w:sz w:val="14"/>
                <w:szCs w:val="14"/>
                <w:b w:val="1"/>
                <w:bCs w:val="1"/>
                <w:color w:val="auto"/>
              </w:rPr>
              <w:t>225</w:t>
            </w:r>
          </w:p>
        </w:tc>
        <w:tc>
          <w:tcPr>
            <w:tcW w:w="1340" w:type="dxa"/>
            <w:vAlign w:val="bottom"/>
            <w:shd w:val="clear" w:color="auto" w:fill="DDDDDD"/>
          </w:tcPr>
          <w:p>
            <w:pPr>
              <w:jc w:val="right"/>
              <w:ind w:right="149"/>
              <w:spacing w:after="0" w:line="149" w:lineRule="exact"/>
              <w:rPr>
                <w:sz w:val="20"/>
                <w:szCs w:val="20"/>
                <w:color w:val="auto"/>
              </w:rPr>
            </w:pPr>
            <w:r>
              <w:rPr>
                <w:rFonts w:ascii="Arial" w:cs="Arial" w:eastAsia="Arial" w:hAnsi="Arial"/>
                <w:sz w:val="14"/>
                <w:szCs w:val="14"/>
                <w:b w:val="1"/>
                <w:bCs w:val="1"/>
                <w:color w:val="auto"/>
              </w:rPr>
              <w:t>232</w:t>
            </w:r>
          </w:p>
        </w:tc>
        <w:tc>
          <w:tcPr>
            <w:tcW w:w="1300" w:type="dxa"/>
            <w:vAlign w:val="bottom"/>
            <w:shd w:val="clear" w:color="auto" w:fill="DDDDDD"/>
          </w:tcPr>
          <w:p>
            <w:pPr>
              <w:jc w:val="right"/>
              <w:ind w:right="229"/>
              <w:spacing w:after="0" w:line="149" w:lineRule="exact"/>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DDDDDD"/>
          </w:tcPr>
          <w:p>
            <w:pPr>
              <w:jc w:val="right"/>
              <w:ind w:right="229"/>
              <w:spacing w:after="0" w:line="149" w:lineRule="exact"/>
              <w:rPr>
                <w:sz w:val="20"/>
                <w:szCs w:val="20"/>
                <w:color w:val="auto"/>
              </w:rPr>
            </w:pPr>
            <w:r>
              <w:rPr>
                <w:rFonts w:ascii="Arial" w:cs="Arial" w:eastAsia="Arial" w:hAnsi="Arial"/>
                <w:sz w:val="14"/>
                <w:szCs w:val="14"/>
                <w:b w:val="1"/>
                <w:bCs w:val="1"/>
                <w:color w:val="auto"/>
              </w:rPr>
              <w:t>87</w:t>
            </w:r>
          </w:p>
        </w:tc>
        <w:tc>
          <w:tcPr>
            <w:tcW w:w="112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544</w:t>
            </w:r>
          </w:p>
        </w:tc>
        <w:tc>
          <w:tcPr>
            <w:tcW w:w="0" w:type="dxa"/>
            <w:vAlign w:val="bottom"/>
          </w:tcPr>
          <w:p>
            <w:pPr>
              <w:spacing w:after="0"/>
              <w:rPr>
                <w:sz w:val="1"/>
                <w:szCs w:val="1"/>
                <w:color w:val="auto"/>
              </w:rPr>
            </w:pPr>
          </w:p>
        </w:tc>
      </w:tr>
      <w:tr>
        <w:trPr>
          <w:trHeight w:val="171"/>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income</w:t>
            </w:r>
          </w:p>
        </w:tc>
        <w:tc>
          <w:tcPr>
            <w:tcW w:w="1220" w:type="dxa"/>
            <w:vAlign w:val="bottom"/>
            <w:tcBorders>
              <w:bottom w:val="single" w:sz="8" w:color="auto"/>
            </w:tcBorders>
            <w:shd w:val="clear" w:color="auto" w:fill="DDDDDD"/>
          </w:tcPr>
          <w:p>
            <w:pPr>
              <w:jc w:val="right"/>
              <w:ind w:right="49"/>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DDDDDD"/>
          </w:tcPr>
          <w:p>
            <w:pPr>
              <w:jc w:val="right"/>
              <w:ind w:right="149"/>
              <w:spacing w:after="0"/>
              <w:rPr>
                <w:sz w:val="20"/>
                <w:szCs w:val="20"/>
                <w:color w:val="auto"/>
              </w:rPr>
            </w:pPr>
            <w:r>
              <w:rPr>
                <w:rFonts w:ascii="Arial" w:cs="Arial" w:eastAsia="Arial" w:hAnsi="Arial"/>
                <w:sz w:val="14"/>
                <w:szCs w:val="14"/>
                <w:b w:val="1"/>
                <w:bCs w:val="1"/>
                <w:color w:val="auto"/>
              </w:rPr>
              <w:t>127</w:t>
            </w:r>
          </w:p>
        </w:tc>
        <w:tc>
          <w:tcPr>
            <w:tcW w:w="1300" w:type="dxa"/>
            <w:vAlign w:val="bottom"/>
            <w:tcBorders>
              <w:bottom w:val="single" w:sz="8" w:color="auto"/>
            </w:tcBorders>
            <w:shd w:val="clear" w:color="auto" w:fill="DDDDDD"/>
          </w:tcPr>
          <w:p>
            <w:pPr>
              <w:jc w:val="right"/>
              <w:ind w:right="229"/>
              <w:spacing w:after="0"/>
              <w:rPr>
                <w:sz w:val="20"/>
                <w:szCs w:val="20"/>
                <w:color w:val="auto"/>
              </w:rPr>
            </w:pPr>
            <w:r>
              <w:rPr>
                <w:rFonts w:ascii="Arial" w:cs="Arial" w:eastAsia="Arial" w:hAnsi="Arial"/>
                <w:sz w:val="14"/>
                <w:szCs w:val="14"/>
                <w:b w:val="1"/>
                <w:bCs w:val="1"/>
                <w:color w:val="auto"/>
              </w:rPr>
              <w:t>52</w:t>
            </w:r>
          </w:p>
        </w:tc>
        <w:tc>
          <w:tcPr>
            <w:tcW w:w="1240" w:type="dxa"/>
            <w:vAlign w:val="bottom"/>
            <w:tcBorders>
              <w:bottom w:val="single" w:sz="8" w:color="auto"/>
            </w:tcBorders>
            <w:shd w:val="clear" w:color="auto" w:fill="DDDDDD"/>
          </w:tcPr>
          <w:p>
            <w:pPr>
              <w:jc w:val="right"/>
              <w:ind w:right="229"/>
              <w:spacing w:after="0"/>
              <w:rPr>
                <w:sz w:val="20"/>
                <w:szCs w:val="20"/>
                <w:color w:val="auto"/>
              </w:rPr>
            </w:pPr>
            <w:r>
              <w:rPr>
                <w:rFonts w:ascii="Arial" w:cs="Arial" w:eastAsia="Arial" w:hAnsi="Arial"/>
                <w:sz w:val="14"/>
                <w:szCs w:val="14"/>
                <w:b w:val="1"/>
                <w:bCs w:val="1"/>
                <w:color w:val="auto"/>
              </w:rPr>
              <w:t>13</w:t>
            </w:r>
          </w:p>
        </w:tc>
        <w:tc>
          <w:tcPr>
            <w:tcW w:w="112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auto"/>
              </w:rPr>
              <w:t>192</w:t>
            </w:r>
          </w:p>
        </w:tc>
        <w:tc>
          <w:tcPr>
            <w:tcW w:w="0" w:type="dxa"/>
            <w:vAlign w:val="bottom"/>
          </w:tcPr>
          <w:p>
            <w:pPr>
              <w:spacing w:after="0"/>
              <w:rPr>
                <w:sz w:val="1"/>
                <w:szCs w:val="1"/>
                <w:color w:val="auto"/>
              </w:rPr>
            </w:pPr>
          </w:p>
        </w:tc>
      </w:tr>
      <w:tr>
        <w:trPr>
          <w:trHeight w:val="119"/>
        </w:trPr>
        <w:tc>
          <w:tcPr>
            <w:tcW w:w="5020" w:type="dxa"/>
            <w:vAlign w:val="bottom"/>
          </w:tcPr>
          <w:p>
            <w:pPr>
              <w:spacing w:after="0" w:line="119" w:lineRule="exact"/>
              <w:rPr>
                <w:sz w:val="20"/>
                <w:szCs w:val="20"/>
                <w:color w:val="auto"/>
              </w:rPr>
            </w:pPr>
            <w:r>
              <w:rPr>
                <w:rFonts w:ascii="Arial" w:cs="Arial" w:eastAsia="Arial" w:hAnsi="Arial"/>
                <w:sz w:val="13"/>
                <w:szCs w:val="13"/>
                <w:color w:val="auto"/>
              </w:rPr>
              <w:t>Earnings before interest, income taxes and depreciation and amortization</w:t>
            </w:r>
          </w:p>
        </w:tc>
        <w:tc>
          <w:tcPr>
            <w:tcW w:w="1220" w:type="dxa"/>
            <w:vAlign w:val="bottom"/>
            <w:shd w:val="clear" w:color="auto" w:fill="DDDDDD"/>
          </w:tcPr>
          <w:p>
            <w:pPr>
              <w:jc w:val="right"/>
              <w:ind w:right="49"/>
              <w:spacing w:after="0" w:line="119" w:lineRule="exact"/>
              <w:rPr>
                <w:sz w:val="20"/>
                <w:szCs w:val="20"/>
                <w:color w:val="auto"/>
              </w:rPr>
            </w:pPr>
            <w:r>
              <w:rPr>
                <w:rFonts w:ascii="Arial" w:cs="Arial" w:eastAsia="Arial" w:hAnsi="Arial"/>
                <w:sz w:val="13"/>
                <w:szCs w:val="13"/>
                <w:b w:val="1"/>
                <w:bCs w:val="1"/>
                <w:color w:val="auto"/>
              </w:rPr>
              <w:t>1,957</w:t>
            </w:r>
          </w:p>
        </w:tc>
        <w:tc>
          <w:tcPr>
            <w:tcW w:w="1340" w:type="dxa"/>
            <w:vAlign w:val="bottom"/>
            <w:shd w:val="clear" w:color="auto" w:fill="DDDDDD"/>
          </w:tcPr>
          <w:p>
            <w:pPr>
              <w:jc w:val="right"/>
              <w:ind w:right="149"/>
              <w:spacing w:after="0" w:line="119" w:lineRule="exact"/>
              <w:rPr>
                <w:sz w:val="20"/>
                <w:szCs w:val="20"/>
                <w:color w:val="auto"/>
              </w:rPr>
            </w:pPr>
            <w:r>
              <w:rPr>
                <w:rFonts w:ascii="Arial" w:cs="Arial" w:eastAsia="Arial" w:hAnsi="Arial"/>
                <w:sz w:val="13"/>
                <w:szCs w:val="13"/>
                <w:b w:val="1"/>
                <w:bCs w:val="1"/>
                <w:color w:val="auto"/>
              </w:rPr>
              <w:t>1,570</w:t>
            </w:r>
          </w:p>
        </w:tc>
        <w:tc>
          <w:tcPr>
            <w:tcW w:w="1300" w:type="dxa"/>
            <w:vAlign w:val="bottom"/>
            <w:shd w:val="clear" w:color="auto" w:fill="DDDDDD"/>
          </w:tcPr>
          <w:p>
            <w:pPr>
              <w:jc w:val="right"/>
              <w:ind w:right="229"/>
              <w:spacing w:after="0" w:line="119" w:lineRule="exact"/>
              <w:rPr>
                <w:sz w:val="20"/>
                <w:szCs w:val="20"/>
                <w:color w:val="auto"/>
              </w:rPr>
            </w:pPr>
            <w:r>
              <w:rPr>
                <w:rFonts w:ascii="Arial" w:cs="Arial" w:eastAsia="Arial" w:hAnsi="Arial"/>
                <w:sz w:val="13"/>
                <w:szCs w:val="13"/>
                <w:b w:val="1"/>
                <w:bCs w:val="1"/>
                <w:color w:val="auto"/>
              </w:rPr>
              <w:t>1,709</w:t>
            </w:r>
          </w:p>
        </w:tc>
        <w:tc>
          <w:tcPr>
            <w:tcW w:w="1240" w:type="dxa"/>
            <w:vAlign w:val="bottom"/>
            <w:shd w:val="clear" w:color="auto" w:fill="DDDDDD"/>
          </w:tcPr>
          <w:p>
            <w:pPr>
              <w:jc w:val="right"/>
              <w:ind w:right="229"/>
              <w:spacing w:after="0" w:line="119" w:lineRule="exact"/>
              <w:rPr>
                <w:sz w:val="20"/>
                <w:szCs w:val="20"/>
                <w:color w:val="auto"/>
              </w:rPr>
            </w:pPr>
            <w:r>
              <w:rPr>
                <w:rFonts w:ascii="Arial" w:cs="Arial" w:eastAsia="Arial" w:hAnsi="Arial"/>
                <w:sz w:val="13"/>
                <w:szCs w:val="13"/>
                <w:b w:val="1"/>
                <w:bCs w:val="1"/>
                <w:color w:val="auto"/>
              </w:rPr>
              <w:t>188</w:t>
            </w:r>
          </w:p>
        </w:tc>
        <w:tc>
          <w:tcPr>
            <w:tcW w:w="1120" w:type="dxa"/>
            <w:vAlign w:val="bottom"/>
            <w:shd w:val="clear" w:color="auto" w:fill="DDDDDD"/>
          </w:tcPr>
          <w:p>
            <w:pPr>
              <w:jc w:val="right"/>
              <w:ind w:right="48"/>
              <w:spacing w:after="0" w:line="119" w:lineRule="exact"/>
              <w:rPr>
                <w:sz w:val="20"/>
                <w:szCs w:val="20"/>
                <w:color w:val="auto"/>
              </w:rPr>
            </w:pPr>
            <w:r>
              <w:rPr>
                <w:rFonts w:ascii="Arial" w:cs="Arial" w:eastAsia="Arial" w:hAnsi="Arial"/>
                <w:sz w:val="13"/>
                <w:szCs w:val="13"/>
                <w:b w:val="1"/>
                <w:bCs w:val="1"/>
                <w:color w:val="auto"/>
              </w:rPr>
              <w:t>5,424</w:t>
            </w: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Eliminations and Other</w:t>
            </w:r>
          </w:p>
        </w:tc>
        <w:tc>
          <w:tcPr>
            <w:tcW w:w="1220" w:type="dxa"/>
            <w:vAlign w:val="bottom"/>
            <w:shd w:val="clear" w:color="auto" w:fill="DDDDDD"/>
          </w:tcPr>
          <w:p>
            <w:pPr>
              <w:spacing w:after="0"/>
              <w:rPr>
                <w:sz w:val="12"/>
                <w:szCs w:val="12"/>
                <w:color w:val="auto"/>
              </w:rPr>
            </w:pPr>
          </w:p>
        </w:tc>
        <w:tc>
          <w:tcPr>
            <w:tcW w:w="1340" w:type="dxa"/>
            <w:vAlign w:val="bottom"/>
            <w:shd w:val="clear" w:color="auto" w:fill="DDDDDD"/>
          </w:tcPr>
          <w:p>
            <w:pPr>
              <w:spacing w:after="0"/>
              <w:rPr>
                <w:sz w:val="12"/>
                <w:szCs w:val="12"/>
                <w:color w:val="auto"/>
              </w:rPr>
            </w:pPr>
          </w:p>
        </w:tc>
        <w:tc>
          <w:tcPr>
            <w:tcW w:w="1300" w:type="dxa"/>
            <w:vAlign w:val="bottom"/>
            <w:shd w:val="clear" w:color="auto" w:fill="DDDDDD"/>
          </w:tcPr>
          <w:p>
            <w:pPr>
              <w:spacing w:after="0"/>
              <w:rPr>
                <w:sz w:val="12"/>
                <w:szCs w:val="12"/>
                <w:color w:val="auto"/>
              </w:rPr>
            </w:pPr>
          </w:p>
        </w:tc>
        <w:tc>
          <w:tcPr>
            <w:tcW w:w="1240" w:type="dxa"/>
            <w:vAlign w:val="bottom"/>
            <w:shd w:val="clear" w:color="auto" w:fill="DDDDDD"/>
          </w:tcPr>
          <w:p>
            <w:pPr>
              <w:spacing w:after="0"/>
              <w:rPr>
                <w:sz w:val="12"/>
                <w:szCs w:val="12"/>
                <w:color w:val="auto"/>
              </w:rPr>
            </w:pPr>
          </w:p>
        </w:tc>
        <w:tc>
          <w:tcPr>
            <w:tcW w:w="112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(404)</w:t>
            </w:r>
          </w:p>
        </w:tc>
        <w:tc>
          <w:tcPr>
            <w:tcW w:w="0" w:type="dxa"/>
            <w:vAlign w:val="bottom"/>
          </w:tcPr>
          <w:p>
            <w:pPr>
              <w:spacing w:after="0"/>
              <w:rPr>
                <w:sz w:val="1"/>
                <w:szCs w:val="1"/>
                <w:color w:val="auto"/>
              </w:rPr>
            </w:pPr>
          </w:p>
        </w:tc>
      </w:tr>
      <w:tr>
        <w:trPr>
          <w:trHeight w:val="148"/>
        </w:trPr>
        <w:tc>
          <w:tcPr>
            <w:tcW w:w="502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220" w:type="dxa"/>
            <w:vAlign w:val="bottom"/>
            <w:shd w:val="clear" w:color="auto" w:fill="DDDDDD"/>
          </w:tcPr>
          <w:p>
            <w:pPr>
              <w:spacing w:after="0"/>
              <w:rPr>
                <w:sz w:val="12"/>
                <w:szCs w:val="12"/>
                <w:color w:val="auto"/>
              </w:rPr>
            </w:pPr>
          </w:p>
        </w:tc>
        <w:tc>
          <w:tcPr>
            <w:tcW w:w="1340" w:type="dxa"/>
            <w:vAlign w:val="bottom"/>
            <w:shd w:val="clear" w:color="auto" w:fill="DDDDDD"/>
          </w:tcPr>
          <w:p>
            <w:pPr>
              <w:spacing w:after="0"/>
              <w:rPr>
                <w:sz w:val="12"/>
                <w:szCs w:val="12"/>
                <w:color w:val="auto"/>
              </w:rPr>
            </w:pPr>
          </w:p>
        </w:tc>
        <w:tc>
          <w:tcPr>
            <w:tcW w:w="1300" w:type="dxa"/>
            <w:vAlign w:val="bottom"/>
            <w:shd w:val="clear" w:color="auto" w:fill="DDDDDD"/>
          </w:tcPr>
          <w:p>
            <w:pPr>
              <w:spacing w:after="0"/>
              <w:rPr>
                <w:sz w:val="12"/>
                <w:szCs w:val="12"/>
                <w:color w:val="auto"/>
              </w:rPr>
            </w:pPr>
          </w:p>
        </w:tc>
        <w:tc>
          <w:tcPr>
            <w:tcW w:w="1240" w:type="dxa"/>
            <w:vAlign w:val="bottom"/>
            <w:shd w:val="clear" w:color="auto" w:fill="DDDDDD"/>
          </w:tcPr>
          <w:p>
            <w:pPr>
              <w:spacing w:after="0"/>
              <w:rPr>
                <w:sz w:val="12"/>
                <w:szCs w:val="12"/>
                <w:color w:val="auto"/>
              </w:rPr>
            </w:pPr>
          </w:p>
        </w:tc>
        <w:tc>
          <w:tcPr>
            <w:tcW w:w="112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(1,433)</w:t>
            </w:r>
          </w:p>
        </w:tc>
        <w:tc>
          <w:tcPr>
            <w:tcW w:w="0" w:type="dxa"/>
            <w:vAlign w:val="bottom"/>
          </w:tcPr>
          <w:p>
            <w:pPr>
              <w:spacing w:after="0"/>
              <w:rPr>
                <w:sz w:val="1"/>
                <w:szCs w:val="1"/>
                <w:color w:val="auto"/>
              </w:rPr>
            </w:pPr>
          </w:p>
        </w:tc>
      </w:tr>
      <w:tr>
        <w:trPr>
          <w:trHeight w:val="171"/>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Interest expense</w:t>
            </w:r>
          </w:p>
        </w:tc>
        <w:tc>
          <w:tcPr>
            <w:tcW w:w="1220" w:type="dxa"/>
            <w:vAlign w:val="bottom"/>
            <w:tcBorders>
              <w:bottom w:val="single" w:sz="8" w:color="auto"/>
            </w:tcBorders>
            <w:shd w:val="clear" w:color="auto" w:fill="DDDDDD"/>
          </w:tcPr>
          <w:p>
            <w:pPr>
              <w:spacing w:after="0"/>
              <w:rPr>
                <w:sz w:val="14"/>
                <w:szCs w:val="14"/>
                <w:color w:val="auto"/>
              </w:rPr>
            </w:pPr>
          </w:p>
        </w:tc>
        <w:tc>
          <w:tcPr>
            <w:tcW w:w="1340" w:type="dxa"/>
            <w:vAlign w:val="bottom"/>
            <w:tcBorders>
              <w:bottom w:val="single" w:sz="8" w:color="auto"/>
            </w:tcBorders>
            <w:shd w:val="clear" w:color="auto" w:fill="DDDDDD"/>
          </w:tcPr>
          <w:p>
            <w:pPr>
              <w:spacing w:after="0"/>
              <w:rPr>
                <w:sz w:val="14"/>
                <w:szCs w:val="14"/>
                <w:color w:val="auto"/>
              </w:rPr>
            </w:pPr>
          </w:p>
        </w:tc>
        <w:tc>
          <w:tcPr>
            <w:tcW w:w="1300" w:type="dxa"/>
            <w:vAlign w:val="bottom"/>
            <w:tcBorders>
              <w:bottom w:val="single" w:sz="8" w:color="auto"/>
            </w:tcBorders>
            <w:shd w:val="clear" w:color="auto" w:fill="DDDDDD"/>
          </w:tcPr>
          <w:p>
            <w:pPr>
              <w:spacing w:after="0"/>
              <w:rPr>
                <w:sz w:val="14"/>
                <w:szCs w:val="14"/>
                <w:color w:val="auto"/>
              </w:rPr>
            </w:pPr>
          </w:p>
        </w:tc>
        <w:tc>
          <w:tcPr>
            <w:tcW w:w="1240" w:type="dxa"/>
            <w:vAlign w:val="bottom"/>
            <w:tcBorders>
              <w:bottom w:val="single" w:sz="8" w:color="auto"/>
            </w:tcBorders>
            <w:shd w:val="clear" w:color="auto" w:fill="DDDDDD"/>
          </w:tcPr>
          <w:p>
            <w:pPr>
              <w:spacing w:after="0"/>
              <w:rPr>
                <w:sz w:val="14"/>
                <w:szCs w:val="14"/>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auto"/>
              </w:rPr>
              <w:t>(1,222)</w:t>
            </w:r>
          </w:p>
        </w:tc>
        <w:tc>
          <w:tcPr>
            <w:tcW w:w="0" w:type="dxa"/>
            <w:vAlign w:val="bottom"/>
          </w:tcPr>
          <w:p>
            <w:pPr>
              <w:spacing w:after="0"/>
              <w:rPr>
                <w:sz w:val="1"/>
                <w:szCs w:val="1"/>
                <w:color w:val="auto"/>
              </w:rPr>
            </w:pPr>
          </w:p>
        </w:tc>
      </w:tr>
      <w:tr>
        <w:trPr>
          <w:trHeight w:val="142"/>
        </w:trPr>
        <w:tc>
          <w:tcPr>
            <w:tcW w:w="50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Earnings before income taxes</w:t>
            </w:r>
          </w:p>
        </w:tc>
        <w:tc>
          <w:tcPr>
            <w:tcW w:w="1220" w:type="dxa"/>
            <w:vAlign w:val="bottom"/>
            <w:tcBorders>
              <w:bottom w:val="single" w:sz="8" w:color="auto"/>
            </w:tcBorders>
            <w:shd w:val="clear" w:color="auto" w:fill="DDDDDD"/>
          </w:tcPr>
          <w:p>
            <w:pPr>
              <w:spacing w:after="0"/>
              <w:rPr>
                <w:sz w:val="12"/>
                <w:szCs w:val="12"/>
                <w:color w:val="auto"/>
              </w:rPr>
            </w:pPr>
          </w:p>
        </w:tc>
        <w:tc>
          <w:tcPr>
            <w:tcW w:w="1340" w:type="dxa"/>
            <w:vAlign w:val="bottom"/>
            <w:tcBorders>
              <w:bottom w:val="single" w:sz="8" w:color="auto"/>
            </w:tcBorders>
            <w:shd w:val="clear" w:color="auto" w:fill="DDDDDD"/>
          </w:tcPr>
          <w:p>
            <w:pPr>
              <w:spacing w:after="0"/>
              <w:rPr>
                <w:sz w:val="12"/>
                <w:szCs w:val="12"/>
                <w:color w:val="auto"/>
              </w:rPr>
            </w:pPr>
          </w:p>
        </w:tc>
        <w:tc>
          <w:tcPr>
            <w:tcW w:w="1300" w:type="dxa"/>
            <w:vAlign w:val="bottom"/>
            <w:tcBorders>
              <w:bottom w:val="single" w:sz="8" w:color="auto"/>
            </w:tcBorders>
            <w:shd w:val="clear" w:color="auto" w:fill="DDDDDD"/>
          </w:tcPr>
          <w:p>
            <w:pPr>
              <w:spacing w:after="0"/>
              <w:rPr>
                <w:sz w:val="12"/>
                <w:szCs w:val="12"/>
                <w:color w:val="auto"/>
              </w:rPr>
            </w:pPr>
          </w:p>
        </w:tc>
        <w:tc>
          <w:tcPr>
            <w:tcW w:w="1240" w:type="dxa"/>
            <w:vAlign w:val="bottom"/>
            <w:tcBorders>
              <w:bottom w:val="single" w:sz="8" w:color="auto"/>
            </w:tcBorders>
            <w:shd w:val="clear" w:color="auto" w:fill="DDDDDD"/>
          </w:tcPr>
          <w:p>
            <w:pPr>
              <w:spacing w:after="0"/>
              <w:rPr>
                <w:sz w:val="12"/>
                <w:szCs w:val="12"/>
                <w:color w:val="auto"/>
              </w:rPr>
            </w:pPr>
          </w:p>
        </w:tc>
        <w:tc>
          <w:tcPr>
            <w:tcW w:w="1120" w:type="dxa"/>
            <w:vAlign w:val="bottom"/>
            <w:tcBorders>
              <w:bottom w:val="single" w:sz="8" w:color="auto"/>
            </w:tcBorders>
            <w:shd w:val="clear" w:color="auto" w:fill="DDDDDD"/>
          </w:tcPr>
          <w:p>
            <w:pPr>
              <w:jc w:val="right"/>
              <w:ind w:right="48"/>
              <w:spacing w:after="0" w:line="142" w:lineRule="exact"/>
              <w:rPr>
                <w:sz w:val="20"/>
                <w:szCs w:val="20"/>
                <w:color w:val="auto"/>
              </w:rPr>
            </w:pPr>
            <w:r>
              <w:rPr>
                <w:rFonts w:ascii="Arial" w:cs="Arial" w:eastAsia="Arial" w:hAnsi="Arial"/>
                <w:sz w:val="14"/>
                <w:szCs w:val="14"/>
                <w:b w:val="1"/>
                <w:bCs w:val="1"/>
                <w:color w:val="auto"/>
              </w:rPr>
              <w:t>2,365</w:t>
            </w:r>
          </w:p>
        </w:tc>
        <w:tc>
          <w:tcPr>
            <w:tcW w:w="0" w:type="dxa"/>
            <w:vAlign w:val="bottom"/>
          </w:tcPr>
          <w:p>
            <w:pPr>
              <w:spacing w:after="0"/>
              <w:rPr>
                <w:sz w:val="1"/>
                <w:szCs w:val="1"/>
                <w:color w:val="auto"/>
              </w:rPr>
            </w:pPr>
          </w:p>
        </w:tc>
      </w:tr>
      <w:tr>
        <w:trPr>
          <w:trHeight w:val="349"/>
        </w:trPr>
        <w:tc>
          <w:tcPr>
            <w:tcW w:w="5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jc w:val="right"/>
              <w:ind w:right="229"/>
              <w:spacing w:after="0"/>
              <w:rPr>
                <w:sz w:val="20"/>
                <w:szCs w:val="20"/>
                <w:color w:val="auto"/>
              </w:rPr>
            </w:pPr>
            <w:r>
              <w:rPr>
                <w:rFonts w:ascii="Arial" w:cs="Arial" w:eastAsia="Arial" w:hAnsi="Arial"/>
                <w:sz w:val="14"/>
                <w:szCs w:val="14"/>
                <w:color w:val="auto"/>
              </w:rPr>
              <w:t>Gas</w:t>
            </w:r>
          </w:p>
        </w:tc>
        <w:tc>
          <w:tcPr>
            <w:tcW w:w="1240" w:type="dxa"/>
            <w:vAlign w:val="bottom"/>
          </w:tcPr>
          <w:p>
            <w:pPr>
              <w:jc w:val="right"/>
              <w:ind w:right="229"/>
              <w:spacing w:after="0"/>
              <w:rPr>
                <w:sz w:val="20"/>
                <w:szCs w:val="20"/>
                <w:color w:val="auto"/>
              </w:rPr>
            </w:pPr>
            <w:r>
              <w:rPr>
                <w:rFonts w:ascii="Arial" w:cs="Arial" w:eastAsia="Arial" w:hAnsi="Arial"/>
                <w:sz w:val="14"/>
                <w:szCs w:val="14"/>
                <w:color w:val="auto"/>
              </w:rPr>
              <w:t>Renewable</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8"/>
        </w:trPr>
        <w:tc>
          <w:tcPr>
            <w:tcW w:w="5020" w:type="dxa"/>
            <w:vAlign w:val="bottom"/>
            <w:vMerge w:val="restart"/>
          </w:tcPr>
          <w:p>
            <w:pPr>
              <w:spacing w:after="0"/>
              <w:rPr>
                <w:sz w:val="20"/>
                <w:szCs w:val="20"/>
                <w:color w:val="auto"/>
              </w:rPr>
            </w:pPr>
            <w:r>
              <w:rPr>
                <w:rFonts w:ascii="Arial" w:cs="Arial" w:eastAsia="Arial" w:hAnsi="Arial"/>
                <w:sz w:val="14"/>
                <w:szCs w:val="14"/>
                <w:color w:val="auto"/>
              </w:rPr>
              <w:t>Three months ended March 31, 2025</w:t>
            </w:r>
          </w:p>
        </w:tc>
        <w:tc>
          <w:tcPr>
            <w:tcW w:w="1220" w:type="dxa"/>
            <w:vAlign w:val="bottom"/>
          </w:tcPr>
          <w:p>
            <w:pPr>
              <w:jc w:val="right"/>
              <w:ind w:right="49"/>
              <w:spacing w:after="0" w:line="158" w:lineRule="exact"/>
              <w:rPr>
                <w:sz w:val="20"/>
                <w:szCs w:val="20"/>
                <w:color w:val="auto"/>
              </w:rPr>
            </w:pPr>
            <w:r>
              <w:rPr>
                <w:rFonts w:ascii="Arial" w:cs="Arial" w:eastAsia="Arial" w:hAnsi="Arial"/>
                <w:sz w:val="14"/>
                <w:szCs w:val="14"/>
                <w:color w:val="auto"/>
              </w:rPr>
              <w:t>Liquids</w:t>
            </w:r>
          </w:p>
        </w:tc>
        <w:tc>
          <w:tcPr>
            <w:tcW w:w="1340" w:type="dxa"/>
            <w:vAlign w:val="bottom"/>
          </w:tcPr>
          <w:p>
            <w:pPr>
              <w:jc w:val="right"/>
              <w:ind w:right="149"/>
              <w:spacing w:after="0" w:line="158" w:lineRule="exact"/>
              <w:rPr>
                <w:sz w:val="20"/>
                <w:szCs w:val="20"/>
                <w:color w:val="auto"/>
              </w:rPr>
            </w:pPr>
            <w:r>
              <w:rPr>
                <w:rFonts w:ascii="Arial" w:cs="Arial" w:eastAsia="Arial" w:hAnsi="Arial"/>
                <w:sz w:val="14"/>
                <w:szCs w:val="14"/>
                <w:color w:val="auto"/>
              </w:rPr>
              <w:t>Gas</w:t>
            </w:r>
          </w:p>
        </w:tc>
        <w:tc>
          <w:tcPr>
            <w:tcW w:w="1300" w:type="dxa"/>
            <w:vAlign w:val="bottom"/>
          </w:tcPr>
          <w:p>
            <w:pPr>
              <w:jc w:val="right"/>
              <w:ind w:right="229"/>
              <w:spacing w:after="0" w:line="158" w:lineRule="exact"/>
              <w:rPr>
                <w:sz w:val="20"/>
                <w:szCs w:val="20"/>
                <w:color w:val="auto"/>
              </w:rPr>
            </w:pPr>
            <w:r>
              <w:rPr>
                <w:rFonts w:ascii="Arial" w:cs="Arial" w:eastAsia="Arial" w:hAnsi="Arial"/>
                <w:sz w:val="14"/>
                <w:szCs w:val="14"/>
                <w:color w:val="auto"/>
              </w:rPr>
              <w:t>Distribution</w:t>
            </w:r>
          </w:p>
        </w:tc>
        <w:tc>
          <w:tcPr>
            <w:tcW w:w="1240" w:type="dxa"/>
            <w:vAlign w:val="bottom"/>
          </w:tcPr>
          <w:p>
            <w:pPr>
              <w:jc w:val="right"/>
              <w:ind w:right="229"/>
              <w:spacing w:after="0" w:line="158" w:lineRule="exact"/>
              <w:rPr>
                <w:sz w:val="20"/>
                <w:szCs w:val="20"/>
                <w:color w:val="auto"/>
              </w:rPr>
            </w:pPr>
            <w:r>
              <w:rPr>
                <w:rFonts w:ascii="Arial" w:cs="Arial" w:eastAsia="Arial" w:hAnsi="Arial"/>
                <w:sz w:val="14"/>
                <w:szCs w:val="14"/>
                <w:color w:val="auto"/>
              </w:rPr>
              <w:t>Power</w:t>
            </w:r>
          </w:p>
        </w:tc>
        <w:tc>
          <w:tcPr>
            <w:tcW w:w="1120" w:type="dxa"/>
            <w:vAlign w:val="bottom"/>
          </w:tcPr>
          <w:p>
            <w:pPr>
              <w:jc w:val="right"/>
              <w:ind w:right="88"/>
              <w:spacing w:after="0" w:line="158" w:lineRule="exact"/>
              <w:rPr>
                <w:sz w:val="20"/>
                <w:szCs w:val="20"/>
                <w:color w:val="auto"/>
              </w:rPr>
            </w:pPr>
            <w:r>
              <w:rPr>
                <w:rFonts w:ascii="Arial" w:cs="Arial" w:eastAsia="Arial" w:hAnsi="Arial"/>
                <w:sz w:val="14"/>
                <w:szCs w:val="14"/>
                <w:color w:val="auto"/>
              </w:rPr>
              <w:t>Reportable</w:t>
            </w:r>
          </w:p>
        </w:tc>
        <w:tc>
          <w:tcPr>
            <w:tcW w:w="0" w:type="dxa"/>
            <w:vAlign w:val="bottom"/>
          </w:tcPr>
          <w:p>
            <w:pPr>
              <w:spacing w:after="0"/>
              <w:rPr>
                <w:sz w:val="1"/>
                <w:szCs w:val="1"/>
                <w:color w:val="auto"/>
              </w:rPr>
            </w:pPr>
          </w:p>
        </w:tc>
      </w:tr>
      <w:tr>
        <w:trPr>
          <w:trHeight w:val="175"/>
        </w:trPr>
        <w:tc>
          <w:tcPr>
            <w:tcW w:w="502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Pipelines</w:t>
            </w:r>
          </w:p>
        </w:tc>
        <w:tc>
          <w:tcPr>
            <w:tcW w:w="13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Transmission</w:t>
            </w:r>
          </w:p>
        </w:tc>
        <w:tc>
          <w:tcPr>
            <w:tcW w:w="1300" w:type="dxa"/>
            <w:vAlign w:val="bottom"/>
            <w:tcBorders>
              <w:bottom w:val="single" w:sz="8" w:color="auto"/>
            </w:tcBorders>
          </w:tcPr>
          <w:p>
            <w:pPr>
              <w:jc w:val="right"/>
              <w:ind w:right="229"/>
              <w:spacing w:after="0" w:line="176" w:lineRule="exact"/>
              <w:rPr>
                <w:sz w:val="20"/>
                <w:szCs w:val="20"/>
                <w:color w:val="auto"/>
              </w:rPr>
            </w:pPr>
            <w:r>
              <w:rPr>
                <w:rFonts w:ascii="Arial" w:cs="Arial" w:eastAsia="Arial" w:hAnsi="Arial"/>
                <w:sz w:val="14"/>
                <w:szCs w:val="14"/>
                <w:color w:val="auto"/>
              </w:rPr>
              <w:t>and Storage</w:t>
            </w:r>
            <w:r>
              <w:rPr>
                <w:rFonts w:ascii="Arial" w:cs="Arial" w:eastAsia="Arial" w:hAnsi="Arial"/>
                <w:sz w:val="18"/>
                <w:szCs w:val="18"/>
                <w:color w:val="auto"/>
                <w:vertAlign w:val="superscript"/>
              </w:rPr>
              <w:t>1</w:t>
            </w:r>
          </w:p>
        </w:tc>
        <w:tc>
          <w:tcPr>
            <w:tcW w:w="12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Generation</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Segments</w:t>
            </w:r>
          </w:p>
        </w:tc>
        <w:tc>
          <w:tcPr>
            <w:tcW w:w="0" w:type="dxa"/>
            <w:vAlign w:val="bottom"/>
          </w:tcPr>
          <w:p>
            <w:pPr>
              <w:spacing w:after="0"/>
              <w:rPr>
                <w:sz w:val="1"/>
                <w:szCs w:val="1"/>
                <w:color w:val="auto"/>
              </w:rPr>
            </w:pPr>
          </w:p>
        </w:tc>
      </w:tr>
      <w:tr>
        <w:trPr>
          <w:trHeight w:val="106"/>
        </w:trPr>
        <w:tc>
          <w:tcPr>
            <w:tcW w:w="5020" w:type="dxa"/>
            <w:vAlign w:val="bottom"/>
          </w:tcPr>
          <w:p>
            <w:pPr>
              <w:spacing w:after="0" w:line="106" w:lineRule="exact"/>
              <w:rPr>
                <w:sz w:val="20"/>
                <w:szCs w:val="20"/>
                <w:color w:val="auto"/>
              </w:rPr>
            </w:pPr>
            <w:r>
              <w:rPr>
                <w:rFonts w:ascii="Arial" w:cs="Arial" w:eastAsia="Arial" w:hAnsi="Arial"/>
                <w:sz w:val="12"/>
                <w:szCs w:val="12"/>
                <w:i w:val="1"/>
                <w:iCs w:val="1"/>
                <w:color w:val="auto"/>
              </w:rPr>
              <w:t>(millions of Canadian dollars)</w:t>
            </w:r>
          </w:p>
        </w:tc>
        <w:tc>
          <w:tcPr>
            <w:tcW w:w="1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line="162" w:lineRule="exact"/>
              <w:rPr>
                <w:sz w:val="20"/>
                <w:szCs w:val="20"/>
                <w:color w:val="auto"/>
              </w:rPr>
            </w:pPr>
            <w:r>
              <w:rPr>
                <w:rFonts w:ascii="Arial" w:cs="Arial" w:eastAsia="Arial" w:hAnsi="Arial"/>
                <w:sz w:val="14"/>
                <w:szCs w:val="14"/>
                <w:color w:val="auto"/>
              </w:rPr>
              <w:t>Operating revenues</w:t>
            </w:r>
            <w:r>
              <w:rPr>
                <w:rFonts w:ascii="Arial" w:cs="Arial" w:eastAsia="Arial" w:hAnsi="Arial"/>
                <w:sz w:val="18"/>
                <w:szCs w:val="18"/>
                <w:color w:val="auto"/>
                <w:vertAlign w:val="superscript"/>
              </w:rPr>
              <w:t>2</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12,184</w:t>
            </w:r>
          </w:p>
        </w:tc>
        <w:tc>
          <w:tcPr>
            <w:tcW w:w="1340" w:type="dxa"/>
            <w:vAlign w:val="bottom"/>
          </w:tcPr>
          <w:p>
            <w:pPr>
              <w:jc w:val="right"/>
              <w:ind w:right="149"/>
              <w:spacing w:after="0"/>
              <w:rPr>
                <w:sz w:val="20"/>
                <w:szCs w:val="20"/>
                <w:color w:val="auto"/>
              </w:rPr>
            </w:pPr>
            <w:r>
              <w:rPr>
                <w:rFonts w:ascii="Arial" w:cs="Arial" w:eastAsia="Arial" w:hAnsi="Arial"/>
                <w:sz w:val="14"/>
                <w:szCs w:val="14"/>
                <w:color w:val="auto"/>
              </w:rPr>
              <w:t>1,715</w:t>
            </w:r>
          </w:p>
        </w:tc>
        <w:tc>
          <w:tcPr>
            <w:tcW w:w="1300" w:type="dxa"/>
            <w:vAlign w:val="bottom"/>
          </w:tcPr>
          <w:p>
            <w:pPr>
              <w:jc w:val="right"/>
              <w:ind w:right="229"/>
              <w:spacing w:after="0"/>
              <w:rPr>
                <w:sz w:val="20"/>
                <w:szCs w:val="20"/>
                <w:color w:val="auto"/>
              </w:rPr>
            </w:pPr>
            <w:r>
              <w:rPr>
                <w:rFonts w:ascii="Arial" w:cs="Arial" w:eastAsia="Arial" w:hAnsi="Arial"/>
                <w:sz w:val="14"/>
                <w:szCs w:val="14"/>
                <w:color w:val="auto"/>
              </w:rPr>
              <w:t>3,956</w:t>
            </w:r>
          </w:p>
        </w:tc>
        <w:tc>
          <w:tcPr>
            <w:tcW w:w="1240" w:type="dxa"/>
            <w:vAlign w:val="bottom"/>
          </w:tcPr>
          <w:p>
            <w:pPr>
              <w:jc w:val="right"/>
              <w:ind w:right="229"/>
              <w:spacing w:after="0"/>
              <w:rPr>
                <w:sz w:val="20"/>
                <w:szCs w:val="20"/>
                <w:color w:val="auto"/>
              </w:rPr>
            </w:pPr>
            <w:r>
              <w:rPr>
                <w:rFonts w:ascii="Arial" w:cs="Arial" w:eastAsia="Arial" w:hAnsi="Arial"/>
                <w:sz w:val="14"/>
                <w:szCs w:val="14"/>
                <w:color w:val="auto"/>
              </w:rPr>
              <w:t>120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17,975</w:t>
            </w: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Commodity and gas distribution costs</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(8,850)</w:t>
            </w:r>
          </w:p>
        </w:tc>
        <w:tc>
          <w:tcPr>
            <w:tcW w:w="1340" w:type="dxa"/>
            <w:vAlign w:val="bottom"/>
          </w:tcPr>
          <w:p>
            <w:pPr>
              <w:jc w:val="right"/>
              <w:ind w:right="89"/>
              <w:spacing w:after="0" w:line="149" w:lineRule="exact"/>
              <w:rPr>
                <w:sz w:val="20"/>
                <w:szCs w:val="20"/>
                <w:color w:val="auto"/>
              </w:rPr>
            </w:pPr>
            <w:r>
              <w:rPr>
                <w:rFonts w:ascii="Arial" w:cs="Arial" w:eastAsia="Arial" w:hAnsi="Arial"/>
                <w:sz w:val="14"/>
                <w:szCs w:val="14"/>
                <w:color w:val="auto"/>
              </w:rPr>
              <w:t>(11)</w:t>
            </w:r>
          </w:p>
        </w:tc>
        <w:tc>
          <w:tcPr>
            <w:tcW w:w="130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(1,634)</w:t>
            </w:r>
          </w:p>
        </w:tc>
        <w:tc>
          <w:tcPr>
            <w:tcW w:w="124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3</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(10,492)</w:t>
            </w:r>
          </w:p>
        </w:tc>
        <w:tc>
          <w:tcPr>
            <w:tcW w:w="0" w:type="dxa"/>
            <w:vAlign w:val="bottom"/>
          </w:tcPr>
          <w:p>
            <w:pPr>
              <w:spacing w:after="0"/>
              <w:rPr>
                <w:sz w:val="1"/>
                <w:szCs w:val="1"/>
                <w:color w:val="auto"/>
              </w:rPr>
            </w:pPr>
          </w:p>
        </w:tc>
      </w:tr>
      <w:tr>
        <w:trPr>
          <w:trHeight w:val="148"/>
        </w:trPr>
        <w:tc>
          <w:tcPr>
            <w:tcW w:w="5020" w:type="dxa"/>
            <w:vAlign w:val="bottom"/>
          </w:tcPr>
          <w:p>
            <w:pPr>
              <w:spacing w:after="0" w:line="149" w:lineRule="exact"/>
              <w:rPr>
                <w:sz w:val="20"/>
                <w:szCs w:val="20"/>
                <w:color w:val="auto"/>
              </w:rPr>
            </w:pPr>
            <w:r>
              <w:rPr>
                <w:rFonts w:ascii="Arial" w:cs="Arial" w:eastAsia="Arial" w:hAnsi="Arial"/>
                <w:sz w:val="14"/>
                <w:szCs w:val="14"/>
                <w:color w:val="auto"/>
              </w:rPr>
              <w:t>Operating and administrative</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(1,128)</w:t>
            </w:r>
          </w:p>
        </w:tc>
        <w:tc>
          <w:tcPr>
            <w:tcW w:w="1340" w:type="dxa"/>
            <w:vAlign w:val="bottom"/>
          </w:tcPr>
          <w:p>
            <w:pPr>
              <w:jc w:val="right"/>
              <w:ind w:right="89"/>
              <w:spacing w:after="0" w:line="149" w:lineRule="exact"/>
              <w:rPr>
                <w:sz w:val="20"/>
                <w:szCs w:val="20"/>
                <w:color w:val="auto"/>
              </w:rPr>
            </w:pPr>
            <w:r>
              <w:rPr>
                <w:rFonts w:ascii="Arial" w:cs="Arial" w:eastAsia="Arial" w:hAnsi="Arial"/>
                <w:sz w:val="14"/>
                <w:szCs w:val="14"/>
                <w:color w:val="auto"/>
              </w:rPr>
              <w:t>(524)</w:t>
            </w:r>
          </w:p>
        </w:tc>
        <w:tc>
          <w:tcPr>
            <w:tcW w:w="130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(772)</w:t>
            </w:r>
          </w:p>
        </w:tc>
        <w:tc>
          <w:tcPr>
            <w:tcW w:w="12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(78)</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(2,502)</w:t>
            </w:r>
          </w:p>
        </w:tc>
        <w:tc>
          <w:tcPr>
            <w:tcW w:w="0" w:type="dxa"/>
            <w:vAlign w:val="bottom"/>
          </w:tcPr>
          <w:p>
            <w:pPr>
              <w:spacing w:after="0"/>
              <w:rPr>
                <w:sz w:val="1"/>
                <w:szCs w:val="1"/>
                <w:color w:val="auto"/>
              </w:rPr>
            </w:pPr>
          </w:p>
        </w:tc>
      </w:tr>
      <w:tr>
        <w:trPr>
          <w:trHeight w:val="148"/>
        </w:trPr>
        <w:tc>
          <w:tcPr>
            <w:tcW w:w="5020" w:type="dxa"/>
            <w:vAlign w:val="bottom"/>
          </w:tcPr>
          <w:p>
            <w:pPr>
              <w:spacing w:after="0" w:line="149" w:lineRule="exact"/>
              <w:rPr>
                <w:sz w:val="20"/>
                <w:szCs w:val="20"/>
                <w:color w:val="auto"/>
              </w:rPr>
            </w:pPr>
            <w:r>
              <w:rPr>
                <w:rFonts w:ascii="Arial" w:cs="Arial" w:eastAsia="Arial" w:hAnsi="Arial"/>
                <w:sz w:val="14"/>
                <w:szCs w:val="14"/>
                <w:color w:val="auto"/>
              </w:rPr>
              <w:t>Income from equity investments</w:t>
            </w:r>
          </w:p>
        </w:tc>
        <w:tc>
          <w:tcPr>
            <w:tcW w:w="1220" w:type="dxa"/>
            <w:vAlign w:val="bottom"/>
          </w:tcPr>
          <w:p>
            <w:pPr>
              <w:jc w:val="right"/>
              <w:ind w:right="49"/>
              <w:spacing w:after="0" w:line="149" w:lineRule="exact"/>
              <w:rPr>
                <w:sz w:val="20"/>
                <w:szCs w:val="20"/>
                <w:color w:val="auto"/>
              </w:rPr>
            </w:pPr>
            <w:r>
              <w:rPr>
                <w:rFonts w:ascii="Arial" w:cs="Arial" w:eastAsia="Arial" w:hAnsi="Arial"/>
                <w:sz w:val="14"/>
                <w:szCs w:val="14"/>
                <w:color w:val="auto"/>
              </w:rPr>
              <w:t>368</w:t>
            </w:r>
          </w:p>
        </w:tc>
        <w:tc>
          <w:tcPr>
            <w:tcW w:w="134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232</w:t>
            </w:r>
          </w:p>
        </w:tc>
        <w:tc>
          <w:tcPr>
            <w:tcW w:w="130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1</w:t>
            </w:r>
          </w:p>
        </w:tc>
        <w:tc>
          <w:tcPr>
            <w:tcW w:w="124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132</w:t>
            </w:r>
          </w:p>
        </w:tc>
        <w:tc>
          <w:tcPr>
            <w:tcW w:w="11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71"/>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income</w:t>
            </w: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w:t>
            </w:r>
          </w:p>
        </w:tc>
        <w:tc>
          <w:tcPr>
            <w:tcW w:w="13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61</w:t>
            </w:r>
          </w:p>
        </w:tc>
        <w:tc>
          <w:tcPr>
            <w:tcW w:w="13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49</w:t>
            </w:r>
          </w:p>
        </w:tc>
        <w:tc>
          <w:tcPr>
            <w:tcW w:w="12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46</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19"/>
        </w:trPr>
        <w:tc>
          <w:tcPr>
            <w:tcW w:w="5020" w:type="dxa"/>
            <w:vAlign w:val="bottom"/>
          </w:tcPr>
          <w:p>
            <w:pPr>
              <w:spacing w:after="0" w:line="119" w:lineRule="exact"/>
              <w:rPr>
                <w:sz w:val="20"/>
                <w:szCs w:val="20"/>
                <w:color w:val="auto"/>
              </w:rPr>
            </w:pPr>
            <w:r>
              <w:rPr>
                <w:rFonts w:ascii="Arial" w:cs="Arial" w:eastAsia="Arial" w:hAnsi="Arial"/>
                <w:sz w:val="13"/>
                <w:szCs w:val="13"/>
                <w:color w:val="auto"/>
              </w:rPr>
              <w:t>Earnings before interest, income taxes and depreciation and amortization</w:t>
            </w:r>
          </w:p>
        </w:tc>
        <w:tc>
          <w:tcPr>
            <w:tcW w:w="1220" w:type="dxa"/>
            <w:vAlign w:val="bottom"/>
          </w:tcPr>
          <w:p>
            <w:pPr>
              <w:jc w:val="right"/>
              <w:ind w:right="49"/>
              <w:spacing w:after="0" w:line="119" w:lineRule="exact"/>
              <w:rPr>
                <w:sz w:val="20"/>
                <w:szCs w:val="20"/>
                <w:color w:val="auto"/>
              </w:rPr>
            </w:pPr>
            <w:r>
              <w:rPr>
                <w:rFonts w:ascii="Arial" w:cs="Arial" w:eastAsia="Arial" w:hAnsi="Arial"/>
                <w:sz w:val="13"/>
                <w:szCs w:val="13"/>
                <w:color w:val="auto"/>
              </w:rPr>
              <w:t>2,593</w:t>
            </w:r>
          </w:p>
        </w:tc>
        <w:tc>
          <w:tcPr>
            <w:tcW w:w="1340" w:type="dxa"/>
            <w:vAlign w:val="bottom"/>
          </w:tcPr>
          <w:p>
            <w:pPr>
              <w:jc w:val="right"/>
              <w:ind w:right="149"/>
              <w:spacing w:after="0" w:line="119" w:lineRule="exact"/>
              <w:rPr>
                <w:sz w:val="20"/>
                <w:szCs w:val="20"/>
                <w:color w:val="auto"/>
              </w:rPr>
            </w:pPr>
            <w:r>
              <w:rPr>
                <w:rFonts w:ascii="Arial" w:cs="Arial" w:eastAsia="Arial" w:hAnsi="Arial"/>
                <w:sz w:val="13"/>
                <w:szCs w:val="13"/>
                <w:color w:val="auto"/>
              </w:rPr>
              <w:t>1,473</w:t>
            </w:r>
          </w:p>
        </w:tc>
        <w:tc>
          <w:tcPr>
            <w:tcW w:w="1300" w:type="dxa"/>
            <w:vAlign w:val="bottom"/>
          </w:tcPr>
          <w:p>
            <w:pPr>
              <w:jc w:val="right"/>
              <w:ind w:right="229"/>
              <w:spacing w:after="0" w:line="119" w:lineRule="exact"/>
              <w:rPr>
                <w:sz w:val="20"/>
                <w:szCs w:val="20"/>
                <w:color w:val="auto"/>
              </w:rPr>
            </w:pPr>
            <w:r>
              <w:rPr>
                <w:rFonts w:ascii="Arial" w:cs="Arial" w:eastAsia="Arial" w:hAnsi="Arial"/>
                <w:sz w:val="13"/>
                <w:szCs w:val="13"/>
                <w:color w:val="auto"/>
              </w:rPr>
              <w:t>1,600</w:t>
            </w:r>
          </w:p>
        </w:tc>
        <w:tc>
          <w:tcPr>
            <w:tcW w:w="1240" w:type="dxa"/>
            <w:vAlign w:val="bottom"/>
          </w:tcPr>
          <w:p>
            <w:pPr>
              <w:jc w:val="right"/>
              <w:ind w:right="229"/>
              <w:spacing w:after="0" w:line="119" w:lineRule="exact"/>
              <w:rPr>
                <w:sz w:val="20"/>
                <w:szCs w:val="20"/>
                <w:color w:val="auto"/>
              </w:rPr>
            </w:pPr>
            <w:r>
              <w:rPr>
                <w:rFonts w:ascii="Arial" w:cs="Arial" w:eastAsia="Arial" w:hAnsi="Arial"/>
                <w:sz w:val="13"/>
                <w:szCs w:val="13"/>
                <w:color w:val="auto"/>
              </w:rPr>
              <w:t>223</w:t>
            </w:r>
          </w:p>
        </w:tc>
        <w:tc>
          <w:tcPr>
            <w:tcW w:w="1120" w:type="dxa"/>
            <w:vAlign w:val="bottom"/>
          </w:tcPr>
          <w:p>
            <w:pPr>
              <w:jc w:val="right"/>
              <w:ind w:right="48"/>
              <w:spacing w:after="0" w:line="119" w:lineRule="exact"/>
              <w:rPr>
                <w:sz w:val="20"/>
                <w:szCs w:val="20"/>
                <w:color w:val="auto"/>
              </w:rPr>
            </w:pPr>
            <w:r>
              <w:rPr>
                <w:rFonts w:ascii="Arial" w:cs="Arial" w:eastAsia="Arial" w:hAnsi="Arial"/>
                <w:sz w:val="13"/>
                <w:szCs w:val="13"/>
                <w:color w:val="auto"/>
              </w:rPr>
              <w:t>5,889</w:t>
            </w: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Eliminations and Other</w:t>
            </w:r>
          </w:p>
        </w:tc>
        <w:tc>
          <w:tcPr>
            <w:tcW w:w="1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8"/>
        </w:trPr>
        <w:tc>
          <w:tcPr>
            <w:tcW w:w="502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(1,408)</w:t>
            </w:r>
          </w:p>
        </w:tc>
        <w:tc>
          <w:tcPr>
            <w:tcW w:w="0" w:type="dxa"/>
            <w:vAlign w:val="bottom"/>
          </w:tcPr>
          <w:p>
            <w:pPr>
              <w:spacing w:after="0"/>
              <w:rPr>
                <w:sz w:val="1"/>
                <w:szCs w:val="1"/>
                <w:color w:val="auto"/>
              </w:rPr>
            </w:pPr>
          </w:p>
        </w:tc>
      </w:tr>
      <w:tr>
        <w:trPr>
          <w:trHeight w:val="171"/>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Interest expense</w:t>
            </w:r>
          </w:p>
        </w:tc>
        <w:tc>
          <w:tcPr>
            <w:tcW w:w="1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(1,334)</w:t>
            </w:r>
          </w:p>
        </w:tc>
        <w:tc>
          <w:tcPr>
            <w:tcW w:w="0" w:type="dxa"/>
            <w:vAlign w:val="bottom"/>
          </w:tcPr>
          <w:p>
            <w:pPr>
              <w:spacing w:after="0"/>
              <w:rPr>
                <w:sz w:val="1"/>
                <w:szCs w:val="1"/>
                <w:color w:val="auto"/>
              </w:rPr>
            </w:pPr>
          </w:p>
        </w:tc>
      </w:tr>
      <w:tr>
        <w:trPr>
          <w:trHeight w:val="142"/>
        </w:trPr>
        <w:tc>
          <w:tcPr>
            <w:tcW w:w="50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Earnings before income taxes</w:t>
            </w:r>
          </w:p>
        </w:tc>
        <w:tc>
          <w:tcPr>
            <w:tcW w:w="1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3,187</w:t>
            </w:r>
          </w:p>
        </w:tc>
        <w:tc>
          <w:tcPr>
            <w:tcW w:w="0" w:type="dxa"/>
            <w:vAlign w:val="bottom"/>
          </w:tcPr>
          <w:p>
            <w:pPr>
              <w:spacing w:after="0"/>
              <w:rPr>
                <w:sz w:val="1"/>
                <w:szCs w:val="1"/>
                <w:color w:val="auto"/>
              </w:rPr>
            </w:pPr>
          </w:p>
        </w:tc>
      </w:tr>
    </w:tbl>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Primarily relates to public utilities that are subject to regulation.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2 Refer to </w:t>
      </w:r>
      <w:r>
        <w:rPr>
          <w:rFonts w:ascii="Arial" w:cs="Arial" w:eastAsia="Arial" w:hAnsi="Arial"/>
          <w:sz w:val="14"/>
          <w:szCs w:val="14"/>
          <w:color w:val="auto"/>
        </w:rPr>
        <w:t>Note 3 - Revenue</w:t>
      </w:r>
      <w:r>
        <w:rPr>
          <w:rFonts w:ascii="Arial" w:cs="Arial" w:eastAsia="Arial" w:hAnsi="Arial"/>
          <w:sz w:val="14"/>
          <w:szCs w:val="14"/>
          <w:i w:val="1"/>
          <w:iCs w:val="1"/>
          <w:color w:val="auto"/>
        </w:rPr>
        <w:t xml:space="preserve"> for a reconciliation of segment Operating revenues to the Consolidated Statements of Earnings.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7"/>
        </w:trPr>
        <w:tc>
          <w:tcPr>
            <w:tcW w:w="7600" w:type="dxa"/>
            <w:vAlign w:val="bottom"/>
          </w:tcPr>
          <w:p>
            <w:pPr>
              <w:spacing w:after="0"/>
              <w:rPr>
                <w:sz w:val="20"/>
                <w:szCs w:val="20"/>
                <w:color w:val="auto"/>
              </w:rPr>
            </w:pPr>
            <w:r>
              <w:rPr>
                <w:rFonts w:ascii="Arial" w:cs="Arial" w:eastAsia="Arial" w:hAnsi="Arial"/>
                <w:sz w:val="18"/>
                <w:szCs w:val="18"/>
                <w:b w:val="1"/>
                <w:bCs w:val="1"/>
                <w:color w:val="auto"/>
              </w:rPr>
              <w:t>Capital Expenditures</w:t>
            </w:r>
            <w:r>
              <w:rPr>
                <w:rFonts w:ascii="Arial" w:cs="Arial" w:eastAsia="Arial" w:hAnsi="Arial"/>
                <w:sz w:val="9"/>
                <w:szCs w:val="9"/>
                <w:b w:val="1"/>
                <w:bCs w:val="1"/>
                <w:color w:val="auto"/>
              </w:rPr>
              <w:t>1</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Three months ended March 31,</w:t>
            </w:r>
          </w:p>
        </w:tc>
        <w:tc>
          <w:tcPr>
            <w:tcW w:w="18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2026</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15"/>
        </w:trPr>
        <w:tc>
          <w:tcPr>
            <w:tcW w:w="760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120" w:type="dxa"/>
            <w:vAlign w:val="bottom"/>
            <w:shd w:val="clear" w:color="auto" w:fill="DDDDDD"/>
          </w:tcPr>
          <w:p>
            <w:pPr>
              <w:spacing w:after="0"/>
              <w:rPr>
                <w:sz w:val="10"/>
                <w:szCs w:val="10"/>
                <w:color w:val="auto"/>
              </w:rPr>
            </w:pPr>
          </w:p>
        </w:tc>
        <w:tc>
          <w:tcPr>
            <w:tcW w:w="1700" w:type="dxa"/>
            <w:vAlign w:val="bottom"/>
            <w:shd w:val="clear" w:color="auto" w:fill="DDDDDD"/>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7600" w:type="dxa"/>
            <w:vAlign w:val="bottom"/>
          </w:tcPr>
          <w:p>
            <w:pPr>
              <w:spacing w:after="0" w:line="183" w:lineRule="exact"/>
              <w:rPr>
                <w:sz w:val="20"/>
                <w:szCs w:val="20"/>
                <w:color w:val="auto"/>
              </w:rPr>
            </w:pPr>
            <w:r>
              <w:rPr>
                <w:rFonts w:ascii="Arial" w:cs="Arial" w:eastAsia="Arial" w:hAnsi="Arial"/>
                <w:sz w:val="18"/>
                <w:szCs w:val="18"/>
                <w:color w:val="auto"/>
              </w:rPr>
              <w:t>Liquids Pipelines</w:t>
            </w:r>
          </w:p>
        </w:tc>
        <w:tc>
          <w:tcPr>
            <w:tcW w:w="120" w:type="dxa"/>
            <w:vAlign w:val="bottom"/>
            <w:shd w:val="clear" w:color="auto" w:fill="DDDDDD"/>
          </w:tcPr>
          <w:p>
            <w:pPr>
              <w:spacing w:after="0"/>
              <w:rPr>
                <w:sz w:val="15"/>
                <w:szCs w:val="15"/>
                <w:color w:val="auto"/>
              </w:rPr>
            </w:pPr>
          </w:p>
        </w:tc>
        <w:tc>
          <w:tcPr>
            <w:tcW w:w="1700" w:type="dxa"/>
            <w:vAlign w:val="bottom"/>
            <w:shd w:val="clear" w:color="auto" w:fill="DDDDDD"/>
          </w:tcPr>
          <w:p>
            <w:pPr>
              <w:jc w:val="right"/>
              <w:ind w:right="30"/>
              <w:spacing w:after="0" w:line="183" w:lineRule="exact"/>
              <w:rPr>
                <w:sz w:val="20"/>
                <w:szCs w:val="20"/>
                <w:color w:val="auto"/>
              </w:rPr>
            </w:pPr>
            <w:r>
              <w:rPr>
                <w:rFonts w:ascii="Arial" w:cs="Arial" w:eastAsia="Arial" w:hAnsi="Arial"/>
                <w:sz w:val="18"/>
                <w:szCs w:val="18"/>
                <w:b w:val="1"/>
                <w:bCs w:val="1"/>
                <w:color w:val="auto"/>
              </w:rPr>
              <w:t>411</w:t>
            </w:r>
          </w:p>
        </w:tc>
        <w:tc>
          <w:tcPr>
            <w:tcW w:w="1820" w:type="dxa"/>
            <w:vAlign w:val="bottom"/>
          </w:tcPr>
          <w:p>
            <w:pPr>
              <w:jc w:val="right"/>
              <w:ind w:right="30"/>
              <w:spacing w:after="0" w:line="183"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189"/>
        </w:trPr>
        <w:tc>
          <w:tcPr>
            <w:tcW w:w="7600" w:type="dxa"/>
            <w:vAlign w:val="bottom"/>
          </w:tcPr>
          <w:p>
            <w:pPr>
              <w:spacing w:after="0" w:line="189" w:lineRule="exact"/>
              <w:rPr>
                <w:sz w:val="20"/>
                <w:szCs w:val="20"/>
                <w:color w:val="auto"/>
              </w:rPr>
            </w:pPr>
            <w:r>
              <w:rPr>
                <w:rFonts w:ascii="Arial" w:cs="Arial" w:eastAsia="Arial" w:hAnsi="Arial"/>
                <w:sz w:val="18"/>
                <w:szCs w:val="18"/>
                <w:color w:val="auto"/>
              </w:rPr>
              <w:t>Gas Transmission</w:t>
            </w:r>
          </w:p>
        </w:tc>
        <w:tc>
          <w:tcPr>
            <w:tcW w:w="120" w:type="dxa"/>
            <w:vAlign w:val="bottom"/>
            <w:shd w:val="clear" w:color="auto" w:fill="DDDDDD"/>
          </w:tcPr>
          <w:p>
            <w:pPr>
              <w:spacing w:after="0"/>
              <w:rPr>
                <w:sz w:val="16"/>
                <w:szCs w:val="16"/>
                <w:color w:val="auto"/>
              </w:rPr>
            </w:pPr>
          </w:p>
        </w:tc>
        <w:tc>
          <w:tcPr>
            <w:tcW w:w="170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942</w:t>
            </w:r>
          </w:p>
        </w:tc>
        <w:tc>
          <w:tcPr>
            <w:tcW w:w="18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189"/>
        </w:trPr>
        <w:tc>
          <w:tcPr>
            <w:tcW w:w="7600" w:type="dxa"/>
            <w:vAlign w:val="bottom"/>
          </w:tcPr>
          <w:p>
            <w:pPr>
              <w:spacing w:after="0" w:line="189" w:lineRule="exact"/>
              <w:rPr>
                <w:sz w:val="20"/>
                <w:szCs w:val="20"/>
                <w:color w:val="auto"/>
              </w:rPr>
            </w:pPr>
            <w:r>
              <w:rPr>
                <w:rFonts w:ascii="Arial" w:cs="Arial" w:eastAsia="Arial" w:hAnsi="Arial"/>
                <w:sz w:val="18"/>
                <w:szCs w:val="18"/>
                <w:color w:val="auto"/>
              </w:rPr>
              <w:t>Gas Distribution and Storage</w:t>
            </w:r>
          </w:p>
        </w:tc>
        <w:tc>
          <w:tcPr>
            <w:tcW w:w="120" w:type="dxa"/>
            <w:vAlign w:val="bottom"/>
            <w:shd w:val="clear" w:color="auto" w:fill="DDDDDD"/>
          </w:tcPr>
          <w:p>
            <w:pPr>
              <w:spacing w:after="0"/>
              <w:rPr>
                <w:sz w:val="16"/>
                <w:szCs w:val="16"/>
                <w:color w:val="auto"/>
              </w:rPr>
            </w:pPr>
          </w:p>
        </w:tc>
        <w:tc>
          <w:tcPr>
            <w:tcW w:w="170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708</w:t>
            </w:r>
          </w:p>
        </w:tc>
        <w:tc>
          <w:tcPr>
            <w:tcW w:w="18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189"/>
        </w:trPr>
        <w:tc>
          <w:tcPr>
            <w:tcW w:w="7600" w:type="dxa"/>
            <w:vAlign w:val="bottom"/>
          </w:tcPr>
          <w:p>
            <w:pPr>
              <w:spacing w:after="0" w:line="189" w:lineRule="exact"/>
              <w:rPr>
                <w:sz w:val="20"/>
                <w:szCs w:val="20"/>
                <w:color w:val="auto"/>
              </w:rPr>
            </w:pPr>
            <w:r>
              <w:rPr>
                <w:rFonts w:ascii="Arial" w:cs="Arial" w:eastAsia="Arial" w:hAnsi="Arial"/>
                <w:sz w:val="18"/>
                <w:szCs w:val="18"/>
                <w:color w:val="auto"/>
              </w:rPr>
              <w:t>Renewable Power Generation</w:t>
            </w:r>
          </w:p>
        </w:tc>
        <w:tc>
          <w:tcPr>
            <w:tcW w:w="120" w:type="dxa"/>
            <w:vAlign w:val="bottom"/>
            <w:shd w:val="clear" w:color="auto" w:fill="DDDDDD"/>
          </w:tcPr>
          <w:p>
            <w:pPr>
              <w:spacing w:after="0"/>
              <w:rPr>
                <w:sz w:val="16"/>
                <w:szCs w:val="16"/>
                <w:color w:val="auto"/>
              </w:rPr>
            </w:pPr>
          </w:p>
        </w:tc>
        <w:tc>
          <w:tcPr>
            <w:tcW w:w="170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424</w:t>
            </w:r>
          </w:p>
        </w:tc>
        <w:tc>
          <w:tcPr>
            <w:tcW w:w="18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1"/>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 and Other</w:t>
            </w:r>
          </w:p>
        </w:tc>
        <w:tc>
          <w:tcPr>
            <w:tcW w:w="120" w:type="dxa"/>
            <w:vAlign w:val="bottom"/>
            <w:tcBorders>
              <w:bottom w:val="single" w:sz="8" w:color="auto"/>
            </w:tcBorders>
            <w:shd w:val="clear" w:color="auto" w:fill="DDDDDD"/>
          </w:tcPr>
          <w:p>
            <w:pPr>
              <w:spacing w:after="0"/>
              <w:rPr>
                <w:sz w:val="19"/>
                <w:szCs w:val="19"/>
                <w:color w:val="auto"/>
              </w:rPr>
            </w:pPr>
          </w:p>
        </w:tc>
        <w:tc>
          <w:tcPr>
            <w:tcW w:w="1700" w:type="dxa"/>
            <w:vAlign w:val="bottom"/>
            <w:tcBorders>
              <w:bottom w:val="single" w:sz="8" w:color="auto"/>
            </w:tcBorders>
            <w:shd w:val="clear" w:color="auto" w:fill="DDDDDD"/>
          </w:tcPr>
          <w:p>
            <w:pPr>
              <w:jc w:val="right"/>
              <w:ind w:right="30"/>
              <w:spacing w:after="0"/>
              <w:rPr>
                <w:sz w:val="20"/>
                <w:szCs w:val="20"/>
                <w:color w:val="auto"/>
              </w:rPr>
            </w:pPr>
            <w:r>
              <w:rPr>
                <w:rFonts w:ascii="Arial" w:cs="Arial" w:eastAsia="Arial" w:hAnsi="Arial"/>
                <w:sz w:val="18"/>
                <w:szCs w:val="18"/>
                <w:b w:val="1"/>
                <w:bCs w:val="1"/>
                <w:color w:val="auto"/>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shd w:val="clear" w:color="auto" w:fill="DDDDDD"/>
          </w:tcPr>
          <w:p>
            <w:pPr>
              <w:spacing w:after="0"/>
              <w:rPr>
                <w:sz w:val="15"/>
                <w:szCs w:val="15"/>
                <w:color w:val="auto"/>
              </w:rPr>
            </w:pPr>
          </w:p>
        </w:tc>
        <w:tc>
          <w:tcPr>
            <w:tcW w:w="1700" w:type="dxa"/>
            <w:vAlign w:val="bottom"/>
            <w:tcBorders>
              <w:bottom w:val="single" w:sz="8" w:color="auto"/>
            </w:tcBorders>
            <w:shd w:val="clear" w:color="auto" w:fill="DDDDDD"/>
          </w:tcPr>
          <w:p>
            <w:pPr>
              <w:jc w:val="right"/>
              <w:ind w:right="30"/>
              <w:spacing w:after="0" w:line="182" w:lineRule="exact"/>
              <w:rPr>
                <w:sz w:val="20"/>
                <w:szCs w:val="20"/>
                <w:color w:val="auto"/>
              </w:rPr>
            </w:pPr>
            <w:r>
              <w:rPr>
                <w:rFonts w:ascii="Arial" w:cs="Arial" w:eastAsia="Arial" w:hAnsi="Arial"/>
                <w:sz w:val="18"/>
                <w:szCs w:val="18"/>
                <w:b w:val="1"/>
                <w:bCs w:val="1"/>
                <w:color w:val="auto"/>
              </w:rPr>
              <w:t>2,485</w:t>
            </w:r>
          </w:p>
        </w:tc>
        <w:tc>
          <w:tcPr>
            <w:tcW w:w="18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5"/>
        </w:trPr>
        <w:tc>
          <w:tcPr>
            <w:tcW w:w="7600" w:type="dxa"/>
            <w:vAlign w:val="bottom"/>
          </w:tcPr>
          <w:p>
            <w:pPr>
              <w:spacing w:after="0"/>
              <w:rPr>
                <w:sz w:val="20"/>
                <w:szCs w:val="20"/>
                <w:color w:val="auto"/>
              </w:rPr>
            </w:pPr>
            <w:r>
              <w:rPr>
                <w:rFonts w:ascii="Arial" w:cs="Arial" w:eastAsia="Arial" w:hAnsi="Arial"/>
                <w:sz w:val="14"/>
                <w:szCs w:val="14"/>
                <w:i w:val="1"/>
                <w:iCs w:val="1"/>
                <w:color w:val="auto"/>
              </w:rPr>
              <w:t>1  Capital expenditures are cash basis plus equity component of the allowance for funds used during construction.</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60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120" w:type="dxa"/>
            <w:vAlign w:val="bottom"/>
          </w:tcPr>
          <w:p>
            <w:pPr>
              <w:spacing w:after="0"/>
              <w:rPr>
                <w:sz w:val="24"/>
                <w:szCs w:val="24"/>
                <w:color w:val="auto"/>
              </w:rPr>
            </w:pPr>
          </w:p>
        </w:tc>
        <w:tc>
          <w:tcPr>
            <w:tcW w:w="17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820" w:type="dxa"/>
            <w:vAlign w:val="bottom"/>
            <w:vMerge w:val="restart"/>
          </w:tcPr>
          <w:p>
            <w:pPr>
              <w:jc w:val="right"/>
              <w:ind w:right="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131"/>
        </w:trPr>
        <w:tc>
          <w:tcPr>
            <w:tcW w:w="7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76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2026</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15"/>
        </w:trPr>
        <w:tc>
          <w:tcPr>
            <w:tcW w:w="760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120" w:type="dxa"/>
            <w:vAlign w:val="bottom"/>
            <w:shd w:val="clear" w:color="auto" w:fill="DDDDDD"/>
          </w:tcPr>
          <w:p>
            <w:pPr>
              <w:spacing w:after="0"/>
              <w:rPr>
                <w:sz w:val="10"/>
                <w:szCs w:val="10"/>
                <w:color w:val="auto"/>
              </w:rPr>
            </w:pPr>
          </w:p>
        </w:tc>
        <w:tc>
          <w:tcPr>
            <w:tcW w:w="1700" w:type="dxa"/>
            <w:vAlign w:val="bottom"/>
            <w:shd w:val="clear" w:color="auto" w:fill="DDDDDD"/>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7600" w:type="dxa"/>
            <w:vAlign w:val="bottom"/>
          </w:tcPr>
          <w:p>
            <w:pPr>
              <w:spacing w:after="0" w:line="183" w:lineRule="exact"/>
              <w:rPr>
                <w:sz w:val="20"/>
                <w:szCs w:val="20"/>
                <w:color w:val="auto"/>
              </w:rPr>
            </w:pPr>
            <w:r>
              <w:rPr>
                <w:rFonts w:ascii="Arial" w:cs="Arial" w:eastAsia="Arial" w:hAnsi="Arial"/>
                <w:sz w:val="18"/>
                <w:szCs w:val="18"/>
                <w:color w:val="auto"/>
              </w:rPr>
              <w:t>Liquids Pipelines</w:t>
            </w:r>
          </w:p>
        </w:tc>
        <w:tc>
          <w:tcPr>
            <w:tcW w:w="120" w:type="dxa"/>
            <w:vAlign w:val="bottom"/>
            <w:shd w:val="clear" w:color="auto" w:fill="DDDDDD"/>
          </w:tcPr>
          <w:p>
            <w:pPr>
              <w:spacing w:after="0"/>
              <w:rPr>
                <w:sz w:val="15"/>
                <w:szCs w:val="15"/>
                <w:color w:val="auto"/>
              </w:rPr>
            </w:pPr>
          </w:p>
        </w:tc>
        <w:tc>
          <w:tcPr>
            <w:tcW w:w="1700" w:type="dxa"/>
            <w:vAlign w:val="bottom"/>
            <w:shd w:val="clear" w:color="auto" w:fill="DDDDDD"/>
          </w:tcPr>
          <w:p>
            <w:pPr>
              <w:jc w:val="right"/>
              <w:ind w:right="30"/>
              <w:spacing w:after="0" w:line="183" w:lineRule="exact"/>
              <w:rPr>
                <w:sz w:val="20"/>
                <w:szCs w:val="20"/>
                <w:color w:val="auto"/>
              </w:rPr>
            </w:pPr>
            <w:r>
              <w:rPr>
                <w:rFonts w:ascii="Arial" w:cs="Arial" w:eastAsia="Arial" w:hAnsi="Arial"/>
                <w:sz w:val="18"/>
                <w:szCs w:val="18"/>
                <w:b w:val="1"/>
                <w:bCs w:val="1"/>
                <w:color w:val="auto"/>
              </w:rPr>
              <w:t>52,149</w:t>
            </w:r>
          </w:p>
        </w:tc>
        <w:tc>
          <w:tcPr>
            <w:tcW w:w="1820" w:type="dxa"/>
            <w:vAlign w:val="bottom"/>
          </w:tcPr>
          <w:p>
            <w:pPr>
              <w:jc w:val="right"/>
              <w:ind w:right="30"/>
              <w:spacing w:after="0" w:line="183" w:lineRule="exact"/>
              <w:rPr>
                <w:sz w:val="20"/>
                <w:szCs w:val="20"/>
                <w:color w:val="auto"/>
              </w:rPr>
            </w:pPr>
            <w:r>
              <w:rPr>
                <w:rFonts w:ascii="Arial" w:cs="Arial" w:eastAsia="Arial" w:hAnsi="Arial"/>
                <w:sz w:val="18"/>
                <w:szCs w:val="18"/>
                <w:color w:val="auto"/>
              </w:rPr>
              <w:t>51,689</w:t>
            </w:r>
          </w:p>
        </w:tc>
        <w:tc>
          <w:tcPr>
            <w:tcW w:w="0" w:type="dxa"/>
            <w:vAlign w:val="bottom"/>
          </w:tcPr>
          <w:p>
            <w:pPr>
              <w:spacing w:after="0"/>
              <w:rPr>
                <w:sz w:val="1"/>
                <w:szCs w:val="1"/>
                <w:color w:val="auto"/>
              </w:rPr>
            </w:pPr>
          </w:p>
        </w:tc>
      </w:tr>
      <w:tr>
        <w:trPr>
          <w:trHeight w:val="189"/>
        </w:trPr>
        <w:tc>
          <w:tcPr>
            <w:tcW w:w="7600" w:type="dxa"/>
            <w:vAlign w:val="bottom"/>
          </w:tcPr>
          <w:p>
            <w:pPr>
              <w:spacing w:after="0" w:line="189" w:lineRule="exact"/>
              <w:rPr>
                <w:sz w:val="20"/>
                <w:szCs w:val="20"/>
                <w:color w:val="auto"/>
              </w:rPr>
            </w:pPr>
            <w:r>
              <w:rPr>
                <w:rFonts w:ascii="Arial" w:cs="Arial" w:eastAsia="Arial" w:hAnsi="Arial"/>
                <w:sz w:val="18"/>
                <w:szCs w:val="18"/>
                <w:color w:val="auto"/>
              </w:rPr>
              <w:t>Gas Transmission</w:t>
            </w:r>
          </w:p>
        </w:tc>
        <w:tc>
          <w:tcPr>
            <w:tcW w:w="120" w:type="dxa"/>
            <w:vAlign w:val="bottom"/>
            <w:shd w:val="clear" w:color="auto" w:fill="DDDDDD"/>
          </w:tcPr>
          <w:p>
            <w:pPr>
              <w:spacing w:after="0"/>
              <w:rPr>
                <w:sz w:val="16"/>
                <w:szCs w:val="16"/>
                <w:color w:val="auto"/>
              </w:rPr>
            </w:pPr>
          </w:p>
        </w:tc>
        <w:tc>
          <w:tcPr>
            <w:tcW w:w="170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36,748</w:t>
            </w:r>
          </w:p>
        </w:tc>
        <w:tc>
          <w:tcPr>
            <w:tcW w:w="18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35,421</w:t>
            </w:r>
          </w:p>
        </w:tc>
        <w:tc>
          <w:tcPr>
            <w:tcW w:w="0" w:type="dxa"/>
            <w:vAlign w:val="bottom"/>
          </w:tcPr>
          <w:p>
            <w:pPr>
              <w:spacing w:after="0"/>
              <w:rPr>
                <w:sz w:val="1"/>
                <w:szCs w:val="1"/>
                <w:color w:val="auto"/>
              </w:rPr>
            </w:pPr>
          </w:p>
        </w:tc>
      </w:tr>
      <w:tr>
        <w:trPr>
          <w:trHeight w:val="189"/>
        </w:trPr>
        <w:tc>
          <w:tcPr>
            <w:tcW w:w="7600" w:type="dxa"/>
            <w:vAlign w:val="bottom"/>
          </w:tcPr>
          <w:p>
            <w:pPr>
              <w:spacing w:after="0" w:line="189" w:lineRule="exact"/>
              <w:rPr>
                <w:sz w:val="20"/>
                <w:szCs w:val="20"/>
                <w:color w:val="auto"/>
              </w:rPr>
            </w:pPr>
            <w:r>
              <w:rPr>
                <w:rFonts w:ascii="Arial" w:cs="Arial" w:eastAsia="Arial" w:hAnsi="Arial"/>
                <w:sz w:val="18"/>
                <w:szCs w:val="18"/>
                <w:color w:val="auto"/>
              </w:rPr>
              <w:t>Gas Distribution and Storage</w:t>
            </w:r>
          </w:p>
        </w:tc>
        <w:tc>
          <w:tcPr>
            <w:tcW w:w="120" w:type="dxa"/>
            <w:vAlign w:val="bottom"/>
            <w:shd w:val="clear" w:color="auto" w:fill="DDDDDD"/>
          </w:tcPr>
          <w:p>
            <w:pPr>
              <w:spacing w:after="0"/>
              <w:rPr>
                <w:sz w:val="16"/>
                <w:szCs w:val="16"/>
                <w:color w:val="auto"/>
              </w:rPr>
            </w:pPr>
          </w:p>
        </w:tc>
        <w:tc>
          <w:tcPr>
            <w:tcW w:w="170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40,277</w:t>
            </w:r>
          </w:p>
        </w:tc>
        <w:tc>
          <w:tcPr>
            <w:tcW w:w="18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39,644</w:t>
            </w:r>
          </w:p>
        </w:tc>
        <w:tc>
          <w:tcPr>
            <w:tcW w:w="0" w:type="dxa"/>
            <w:vAlign w:val="bottom"/>
          </w:tcPr>
          <w:p>
            <w:pPr>
              <w:spacing w:after="0"/>
              <w:rPr>
                <w:sz w:val="1"/>
                <w:szCs w:val="1"/>
                <w:color w:val="auto"/>
              </w:rPr>
            </w:pPr>
          </w:p>
        </w:tc>
      </w:tr>
      <w:tr>
        <w:trPr>
          <w:trHeight w:val="189"/>
        </w:trPr>
        <w:tc>
          <w:tcPr>
            <w:tcW w:w="7600" w:type="dxa"/>
            <w:vAlign w:val="bottom"/>
          </w:tcPr>
          <w:p>
            <w:pPr>
              <w:spacing w:after="0" w:line="189" w:lineRule="exact"/>
              <w:rPr>
                <w:sz w:val="20"/>
                <w:szCs w:val="20"/>
                <w:color w:val="auto"/>
              </w:rPr>
            </w:pPr>
            <w:r>
              <w:rPr>
                <w:rFonts w:ascii="Arial" w:cs="Arial" w:eastAsia="Arial" w:hAnsi="Arial"/>
                <w:sz w:val="18"/>
                <w:szCs w:val="18"/>
                <w:color w:val="auto"/>
              </w:rPr>
              <w:t>Renewable Power Generation</w:t>
            </w:r>
          </w:p>
        </w:tc>
        <w:tc>
          <w:tcPr>
            <w:tcW w:w="120" w:type="dxa"/>
            <w:vAlign w:val="bottom"/>
            <w:shd w:val="clear" w:color="auto" w:fill="DDDDDD"/>
          </w:tcPr>
          <w:p>
            <w:pPr>
              <w:spacing w:after="0"/>
              <w:rPr>
                <w:sz w:val="16"/>
                <w:szCs w:val="16"/>
                <w:color w:val="auto"/>
              </w:rPr>
            </w:pPr>
          </w:p>
        </w:tc>
        <w:tc>
          <w:tcPr>
            <w:tcW w:w="170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4,882</w:t>
            </w:r>
          </w:p>
        </w:tc>
        <w:tc>
          <w:tcPr>
            <w:tcW w:w="18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4,439</w:t>
            </w:r>
          </w:p>
        </w:tc>
        <w:tc>
          <w:tcPr>
            <w:tcW w:w="0" w:type="dxa"/>
            <w:vAlign w:val="bottom"/>
          </w:tcPr>
          <w:p>
            <w:pPr>
              <w:spacing w:after="0"/>
              <w:rPr>
                <w:sz w:val="1"/>
                <w:szCs w:val="1"/>
                <w:color w:val="auto"/>
              </w:rPr>
            </w:pPr>
          </w:p>
        </w:tc>
      </w:tr>
      <w:tr>
        <w:trPr>
          <w:trHeight w:val="221"/>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 and Other</w:t>
            </w:r>
          </w:p>
        </w:tc>
        <w:tc>
          <w:tcPr>
            <w:tcW w:w="120" w:type="dxa"/>
            <w:vAlign w:val="bottom"/>
            <w:tcBorders>
              <w:bottom w:val="single" w:sz="8" w:color="auto"/>
            </w:tcBorders>
            <w:shd w:val="clear" w:color="auto" w:fill="DDDDDD"/>
          </w:tcPr>
          <w:p>
            <w:pPr>
              <w:spacing w:after="0"/>
              <w:rPr>
                <w:sz w:val="19"/>
                <w:szCs w:val="19"/>
                <w:color w:val="auto"/>
              </w:rPr>
            </w:pPr>
          </w:p>
        </w:tc>
        <w:tc>
          <w:tcPr>
            <w:tcW w:w="1700" w:type="dxa"/>
            <w:vAlign w:val="bottom"/>
            <w:tcBorders>
              <w:bottom w:val="single" w:sz="8" w:color="auto"/>
            </w:tcBorders>
            <w:shd w:val="clear" w:color="auto" w:fill="DDDDDD"/>
          </w:tcPr>
          <w:p>
            <w:pPr>
              <w:jc w:val="right"/>
              <w:ind w:right="30"/>
              <w:spacing w:after="0"/>
              <w:rPr>
                <w:sz w:val="20"/>
                <w:szCs w:val="20"/>
                <w:color w:val="auto"/>
              </w:rPr>
            </w:pPr>
            <w:r>
              <w:rPr>
                <w:rFonts w:ascii="Arial" w:cs="Arial" w:eastAsia="Arial" w:hAnsi="Arial"/>
                <w:sz w:val="18"/>
                <w:szCs w:val="18"/>
                <w:b w:val="1"/>
                <w:bCs w:val="1"/>
                <w:color w:val="auto"/>
              </w:rPr>
              <w:t>352</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shd w:val="clear" w:color="auto" w:fill="DDDDDD"/>
          </w:tcPr>
          <w:p>
            <w:pPr>
              <w:spacing w:after="0"/>
              <w:rPr>
                <w:sz w:val="15"/>
                <w:szCs w:val="15"/>
                <w:color w:val="auto"/>
              </w:rPr>
            </w:pPr>
          </w:p>
        </w:tc>
        <w:tc>
          <w:tcPr>
            <w:tcW w:w="1700" w:type="dxa"/>
            <w:vAlign w:val="bottom"/>
            <w:tcBorders>
              <w:bottom w:val="single" w:sz="8" w:color="auto"/>
            </w:tcBorders>
            <w:shd w:val="clear" w:color="auto" w:fill="DDDDDD"/>
          </w:tcPr>
          <w:p>
            <w:pPr>
              <w:jc w:val="right"/>
              <w:ind w:right="30"/>
              <w:spacing w:after="0" w:line="182" w:lineRule="exact"/>
              <w:rPr>
                <w:sz w:val="20"/>
                <w:szCs w:val="20"/>
                <w:color w:val="auto"/>
              </w:rPr>
            </w:pPr>
            <w:r>
              <w:rPr>
                <w:rFonts w:ascii="Arial" w:cs="Arial" w:eastAsia="Arial" w:hAnsi="Arial"/>
                <w:sz w:val="18"/>
                <w:szCs w:val="18"/>
                <w:b w:val="1"/>
                <w:bCs w:val="1"/>
                <w:color w:val="auto"/>
              </w:rPr>
              <w:t>134,408</w:t>
            </w:r>
          </w:p>
        </w:tc>
        <w:tc>
          <w:tcPr>
            <w:tcW w:w="18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131,598</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5. EARNINGS PER COMMON SHARE AND DIVIDENDS PER SHARE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14"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The numerator used in calculating both basic and diluted earnings per share equals Earnings attributable to common shareholders per the Consolidated Statements of Earnings, less Redemption value adjustment attributable to redeemable noncontrolling interest per the Consolidated Statements of Changes in Equity</w:t>
      </w:r>
      <w:r>
        <w:rPr>
          <w:rFonts w:ascii="Arial" w:cs="Arial" w:eastAsia="Arial" w:hAnsi="Arial"/>
          <w:sz w:val="18"/>
          <w:szCs w:val="18"/>
          <w:i w:val="1"/>
          <w:iCs w:val="1"/>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DENOMINATOR</w:t>
      </w:r>
    </w:p>
    <w:p>
      <w:pPr>
        <w:spacing w:after="0" w:line="14" w:lineRule="exact"/>
        <w:rPr>
          <w:sz w:val="20"/>
          <w:szCs w:val="20"/>
          <w:color w:val="auto"/>
        </w:rPr>
      </w:pPr>
    </w:p>
    <w:p>
      <w:pPr>
        <w:ind w:right="860"/>
        <w:spacing w:after="0" w:line="250" w:lineRule="auto"/>
        <w:rPr>
          <w:sz w:val="20"/>
          <w:szCs w:val="20"/>
          <w:color w:val="auto"/>
        </w:rPr>
      </w:pPr>
      <w:r>
        <w:rPr>
          <w:rFonts w:ascii="Arial" w:cs="Arial" w:eastAsia="Arial" w:hAnsi="Arial"/>
          <w:sz w:val="18"/>
          <w:szCs w:val="18"/>
          <w:color w:val="auto"/>
        </w:rPr>
        <w:t>The denominator of the basic earnings per common share calculation represents the weighted average number of common shares outstanding.</w:t>
      </w:r>
    </w:p>
    <w:p>
      <w:pPr>
        <w:spacing w:after="0" w:line="104"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denominator of the diluted earnings per common share calculation uses the treasury stock method to determine the dilutive impact of stock options and share-settled RSUs. This method assumes any proceeds from the exercise of stock options and vesting of share-settled RSUs would be used to purchase common shares at the average market price during the period. The basic weighted average shares outstanding are adjusted by this dilutive impact to derive the diluted weighted average shares outstanding.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outstanding used to calculate basic and diluted earnings per common share are as follows:</w:t>
      </w: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2400" w:type="dxa"/>
            <w:vAlign w:val="bottom"/>
            <w:gridSpan w:val="2"/>
          </w:tcPr>
          <w:p>
            <w:pPr>
              <w:jc w:val="center"/>
              <w:ind w:left="450"/>
              <w:spacing w:after="0" w:line="171" w:lineRule="exact"/>
              <w:rPr>
                <w:sz w:val="20"/>
                <w:szCs w:val="20"/>
                <w:color w:val="auto"/>
              </w:rPr>
            </w:pPr>
            <w:r>
              <w:rPr>
                <w:rFonts w:ascii="Arial" w:cs="Arial" w:eastAsia="Arial" w:hAnsi="Arial"/>
                <w:sz w:val="18"/>
                <w:szCs w:val="18"/>
                <w:color w:val="auto"/>
                <w:w w:val="99"/>
              </w:rPr>
              <w:t>Three months ended</w:t>
            </w:r>
          </w:p>
        </w:tc>
        <w:tc>
          <w:tcPr>
            <w:tcW w:w="660" w:type="dxa"/>
            <w:vAlign w:val="bottom"/>
          </w:tcPr>
          <w:p>
            <w:pPr>
              <w:spacing w:after="0"/>
              <w:rPr>
                <w:sz w:val="14"/>
                <w:szCs w:val="14"/>
                <w:color w:val="auto"/>
              </w:rPr>
            </w:pPr>
          </w:p>
        </w:tc>
      </w:tr>
      <w:tr>
        <w:trPr>
          <w:trHeight w:val="221"/>
        </w:trPr>
        <w:tc>
          <w:tcPr>
            <w:tcW w:w="8180" w:type="dxa"/>
            <w:vAlign w:val="bottom"/>
          </w:tcPr>
          <w:p>
            <w:pPr>
              <w:spacing w:after="0"/>
              <w:rPr>
                <w:sz w:val="19"/>
                <w:szCs w:val="19"/>
                <w:color w:val="auto"/>
              </w:rPr>
            </w:pPr>
          </w:p>
        </w:tc>
        <w:tc>
          <w:tcPr>
            <w:tcW w:w="240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color w:val="auto"/>
                <w:w w:val="99"/>
              </w:rPr>
              <w:t>March 31,</w:t>
            </w:r>
          </w:p>
        </w:tc>
        <w:tc>
          <w:tcPr>
            <w:tcW w:w="660" w:type="dxa"/>
            <w:vAlign w:val="bottom"/>
            <w:tcBorders>
              <w:bottom w:val="single" w:sz="8" w:color="auto"/>
            </w:tcBorders>
          </w:tcPr>
          <w:p>
            <w:pPr>
              <w:spacing w:after="0"/>
              <w:rPr>
                <w:sz w:val="19"/>
                <w:szCs w:val="19"/>
                <w:color w:val="auto"/>
              </w:rPr>
            </w:pPr>
          </w:p>
        </w:tc>
      </w:tr>
      <w:tr>
        <w:trPr>
          <w:trHeight w:val="183"/>
        </w:trPr>
        <w:tc>
          <w:tcPr>
            <w:tcW w:w="8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rPr>
              <w:t>2026</w:t>
            </w:r>
          </w:p>
        </w:tc>
        <w:tc>
          <w:tcPr>
            <w:tcW w:w="9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2025</w:t>
            </w:r>
          </w:p>
        </w:tc>
      </w:tr>
      <w:tr>
        <w:trPr>
          <w:trHeight w:val="115"/>
        </w:trPr>
        <w:tc>
          <w:tcPr>
            <w:tcW w:w="8180" w:type="dxa"/>
            <w:vAlign w:val="bottom"/>
          </w:tcPr>
          <w:p>
            <w:pPr>
              <w:spacing w:after="0" w:line="115" w:lineRule="exact"/>
              <w:rPr>
                <w:sz w:val="20"/>
                <w:szCs w:val="20"/>
                <w:color w:val="auto"/>
              </w:rPr>
            </w:pPr>
            <w:r>
              <w:rPr>
                <w:rFonts w:ascii="Arial" w:cs="Arial" w:eastAsia="Arial" w:hAnsi="Arial"/>
                <w:sz w:val="13"/>
                <w:szCs w:val="13"/>
                <w:i w:val="1"/>
                <w:iCs w:val="1"/>
                <w:color w:val="auto"/>
              </w:rPr>
              <w:t>(number of shares in millions)</w:t>
            </w:r>
          </w:p>
        </w:tc>
        <w:tc>
          <w:tcPr>
            <w:tcW w:w="1500" w:type="dxa"/>
            <w:vAlign w:val="bottom"/>
            <w:shd w:val="clear" w:color="auto" w:fill="DDDDDD"/>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84"/>
        </w:trPr>
        <w:tc>
          <w:tcPr>
            <w:tcW w:w="8180" w:type="dxa"/>
            <w:vAlign w:val="bottom"/>
          </w:tcPr>
          <w:p>
            <w:pPr>
              <w:spacing w:after="0" w:line="183" w:lineRule="exact"/>
              <w:rPr>
                <w:sz w:val="20"/>
                <w:szCs w:val="20"/>
                <w:color w:val="auto"/>
              </w:rPr>
            </w:pPr>
            <w:r>
              <w:rPr>
                <w:rFonts w:ascii="Arial" w:cs="Arial" w:eastAsia="Arial" w:hAnsi="Arial"/>
                <w:sz w:val="18"/>
                <w:szCs w:val="18"/>
                <w:color w:val="auto"/>
              </w:rPr>
              <w:t>Weighted average shares outstanding</w:t>
            </w:r>
          </w:p>
        </w:tc>
        <w:tc>
          <w:tcPr>
            <w:tcW w:w="1500" w:type="dxa"/>
            <w:vAlign w:val="bottom"/>
            <w:shd w:val="clear" w:color="auto" w:fill="DDDDDD"/>
          </w:tcPr>
          <w:p>
            <w:pPr>
              <w:jc w:val="right"/>
              <w:ind w:right="30"/>
              <w:spacing w:after="0" w:line="183" w:lineRule="exact"/>
              <w:rPr>
                <w:sz w:val="20"/>
                <w:szCs w:val="20"/>
                <w:color w:val="auto"/>
              </w:rPr>
            </w:pPr>
            <w:r>
              <w:rPr>
                <w:rFonts w:ascii="Arial" w:cs="Arial" w:eastAsia="Arial" w:hAnsi="Arial"/>
                <w:sz w:val="18"/>
                <w:szCs w:val="18"/>
                <w:b w:val="1"/>
                <w:bCs w:val="1"/>
                <w:color w:val="auto"/>
              </w:rPr>
              <w:t>2,182</w:t>
            </w:r>
          </w:p>
        </w:tc>
        <w:tc>
          <w:tcPr>
            <w:tcW w:w="900" w:type="dxa"/>
            <w:vAlign w:val="bottom"/>
          </w:tcPr>
          <w:p>
            <w:pPr>
              <w:spacing w:after="0"/>
              <w:rPr>
                <w:sz w:val="15"/>
                <w:szCs w:val="15"/>
                <w:color w:val="auto"/>
              </w:rPr>
            </w:pPr>
          </w:p>
        </w:tc>
        <w:tc>
          <w:tcPr>
            <w:tcW w:w="660" w:type="dxa"/>
            <w:vAlign w:val="bottom"/>
          </w:tcPr>
          <w:p>
            <w:pPr>
              <w:jc w:val="right"/>
              <w:ind w:right="30"/>
              <w:spacing w:after="0" w:line="183" w:lineRule="exact"/>
              <w:rPr>
                <w:sz w:val="20"/>
                <w:szCs w:val="20"/>
                <w:color w:val="auto"/>
              </w:rPr>
            </w:pPr>
            <w:r>
              <w:rPr>
                <w:rFonts w:ascii="Arial" w:cs="Arial" w:eastAsia="Arial" w:hAnsi="Arial"/>
                <w:sz w:val="18"/>
                <w:szCs w:val="18"/>
                <w:color w:val="auto"/>
              </w:rPr>
              <w:t>2,179</w:t>
            </w:r>
          </w:p>
        </w:tc>
      </w:tr>
      <w:tr>
        <w:trPr>
          <w:trHeight w:val="221"/>
        </w:trPr>
        <w:tc>
          <w:tcPr>
            <w:tcW w:w="8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dilutive options and RSUs</w:t>
            </w:r>
          </w:p>
        </w:tc>
        <w:tc>
          <w:tcPr>
            <w:tcW w:w="1500" w:type="dxa"/>
            <w:vAlign w:val="bottom"/>
            <w:tcBorders>
              <w:bottom w:val="single" w:sz="8" w:color="auto"/>
            </w:tcBorders>
            <w:shd w:val="clear" w:color="auto" w:fill="DDDDDD"/>
          </w:tcPr>
          <w:p>
            <w:pPr>
              <w:jc w:val="right"/>
              <w:ind w:right="30"/>
              <w:spacing w:after="0"/>
              <w:rPr>
                <w:sz w:val="20"/>
                <w:szCs w:val="20"/>
                <w:color w:val="auto"/>
              </w:rPr>
            </w:pPr>
            <w:r>
              <w:rPr>
                <w:rFonts w:ascii="Arial" w:cs="Arial" w:eastAsia="Arial" w:hAnsi="Arial"/>
                <w:sz w:val="18"/>
                <w:szCs w:val="18"/>
                <w:b w:val="1"/>
                <w:bCs w:val="1"/>
                <w:color w:val="auto"/>
              </w:rPr>
              <w:t>6</w:t>
            </w:r>
          </w:p>
        </w:tc>
        <w:tc>
          <w:tcPr>
            <w:tcW w:w="9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r>
      <w:tr>
        <w:trPr>
          <w:trHeight w:val="183"/>
        </w:trPr>
        <w:tc>
          <w:tcPr>
            <w:tcW w:w="818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Diluted weighted average shares outstanding</w:t>
            </w:r>
          </w:p>
        </w:tc>
        <w:tc>
          <w:tcPr>
            <w:tcW w:w="1500" w:type="dxa"/>
            <w:vAlign w:val="bottom"/>
            <w:tcBorders>
              <w:bottom w:val="single" w:sz="8" w:color="auto"/>
            </w:tcBorders>
            <w:shd w:val="clear" w:color="auto" w:fill="DDDDDD"/>
          </w:tcPr>
          <w:p>
            <w:pPr>
              <w:jc w:val="right"/>
              <w:ind w:right="30"/>
              <w:spacing w:after="0" w:line="182" w:lineRule="exact"/>
              <w:rPr>
                <w:sz w:val="20"/>
                <w:szCs w:val="20"/>
                <w:color w:val="auto"/>
              </w:rPr>
            </w:pPr>
            <w:r>
              <w:rPr>
                <w:rFonts w:ascii="Arial" w:cs="Arial" w:eastAsia="Arial" w:hAnsi="Arial"/>
                <w:sz w:val="18"/>
                <w:szCs w:val="18"/>
                <w:b w:val="1"/>
                <w:bCs w:val="1"/>
                <w:color w:val="auto"/>
              </w:rPr>
              <w:t>2,188</w:t>
            </w:r>
          </w:p>
        </w:tc>
        <w:tc>
          <w:tcPr>
            <w:tcW w:w="9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2,185</w:t>
            </w:r>
          </w:p>
        </w:tc>
      </w:tr>
    </w:tbl>
    <w:p>
      <w:pPr>
        <w:spacing w:after="0" w:line="19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For the three months ended March 31, 2026 and 2025, 2.3 million and 3.1 million, respectively, of anti-dilutive stock options with a weighted average exercise price of $69.76 and $60.45, respectively, were excluded from the diluted earnings per common share calculation.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DIVIDENDS PER SHARE</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On May 5, 2026, our Board of Directors declared the following quarterly dividends. All dividends are payable on June 1, 2026 to shareholders of record on May 15, 2026.</w:t>
      </w:r>
    </w:p>
    <w:tbl>
      <w:tblPr>
        <w:tblLayout w:type="fixed"/>
        <w:tblInd w:w="0" w:type="dxa"/>
        <w:tblCellMar>
          <w:top w:w="0" w:type="dxa"/>
          <w:left w:w="0" w:type="dxa"/>
          <w:bottom w:w="0" w:type="dxa"/>
          <w:right w:w="0" w:type="dxa"/>
        </w:tblCellMar>
      </w:tblPr>
      <w:tr>
        <w:trPr>
          <w:trHeight w:val="205"/>
        </w:trPr>
        <w:tc>
          <w:tcPr>
            <w:tcW w:w="6040" w:type="dxa"/>
            <w:vAlign w:val="bottom"/>
            <w:tcBorders>
              <w:bottom w:val="single" w:sz="8" w:color="auto"/>
            </w:tcBorders>
          </w:tcPr>
          <w:p>
            <w:pPr>
              <w:spacing w:after="0"/>
              <w:rPr>
                <w:sz w:val="17"/>
                <w:szCs w:val="17"/>
                <w:color w:val="auto"/>
              </w:rPr>
            </w:pPr>
          </w:p>
        </w:tc>
        <w:tc>
          <w:tcPr>
            <w:tcW w:w="52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Dividend per share</w:t>
            </w:r>
          </w:p>
        </w:tc>
      </w:tr>
      <w:tr>
        <w:trPr>
          <w:trHeight w:val="150"/>
        </w:trPr>
        <w:tc>
          <w:tcPr>
            <w:tcW w:w="6040" w:type="dxa"/>
            <w:vAlign w:val="bottom"/>
          </w:tcPr>
          <w:p>
            <w:pPr>
              <w:spacing w:after="0" w:line="150" w:lineRule="exact"/>
              <w:rPr>
                <w:sz w:val="20"/>
                <w:szCs w:val="20"/>
                <w:color w:val="auto"/>
              </w:rPr>
            </w:pPr>
            <w:r>
              <w:rPr>
                <w:rFonts w:ascii="Arial" w:cs="Arial" w:eastAsia="Arial" w:hAnsi="Arial"/>
                <w:sz w:val="17"/>
                <w:szCs w:val="17"/>
                <w:color w:val="auto"/>
              </w:rPr>
              <w:t>Common Shares</w:t>
            </w:r>
          </w:p>
        </w:tc>
        <w:tc>
          <w:tcPr>
            <w:tcW w:w="5200" w:type="dxa"/>
            <w:vAlign w:val="bottom"/>
          </w:tcPr>
          <w:p>
            <w:pPr>
              <w:jc w:val="right"/>
              <w:spacing w:after="0" w:line="150" w:lineRule="exact"/>
              <w:rPr>
                <w:sz w:val="20"/>
                <w:szCs w:val="20"/>
                <w:color w:val="auto"/>
              </w:rPr>
            </w:pPr>
            <w:r>
              <w:rPr>
                <w:rFonts w:ascii="Arial" w:cs="Arial" w:eastAsia="Arial" w:hAnsi="Arial"/>
                <w:sz w:val="17"/>
                <w:szCs w:val="17"/>
                <w:color w:val="auto"/>
              </w:rPr>
              <w:t>$0.9700</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Preference Shares, Series A</w:t>
            </w:r>
          </w:p>
        </w:tc>
        <w:tc>
          <w:tcPr>
            <w:tcW w:w="5200" w:type="dxa"/>
            <w:vAlign w:val="bottom"/>
          </w:tcPr>
          <w:p>
            <w:pPr>
              <w:jc w:val="right"/>
              <w:spacing w:after="0" w:line="189" w:lineRule="exact"/>
              <w:rPr>
                <w:sz w:val="20"/>
                <w:szCs w:val="20"/>
                <w:color w:val="auto"/>
              </w:rPr>
            </w:pPr>
            <w:r>
              <w:rPr>
                <w:rFonts w:ascii="Arial" w:cs="Arial" w:eastAsia="Arial" w:hAnsi="Arial"/>
                <w:sz w:val="18"/>
                <w:szCs w:val="18"/>
                <w:color w:val="auto"/>
              </w:rPr>
              <w:t>$0.34375</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Preference Shares, Series B</w:t>
            </w:r>
          </w:p>
        </w:tc>
        <w:tc>
          <w:tcPr>
            <w:tcW w:w="5200" w:type="dxa"/>
            <w:vAlign w:val="bottom"/>
          </w:tcPr>
          <w:p>
            <w:pPr>
              <w:jc w:val="right"/>
              <w:spacing w:after="0" w:line="189" w:lineRule="exact"/>
              <w:rPr>
                <w:sz w:val="20"/>
                <w:szCs w:val="20"/>
                <w:color w:val="auto"/>
              </w:rPr>
            </w:pPr>
            <w:r>
              <w:rPr>
                <w:rFonts w:ascii="Arial" w:cs="Arial" w:eastAsia="Arial" w:hAnsi="Arial"/>
                <w:sz w:val="18"/>
                <w:szCs w:val="18"/>
                <w:color w:val="auto"/>
              </w:rPr>
              <w:t>$0.32513</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Preference Shares, Series D</w:t>
            </w:r>
          </w:p>
        </w:tc>
        <w:tc>
          <w:tcPr>
            <w:tcW w:w="5200" w:type="dxa"/>
            <w:vAlign w:val="bottom"/>
          </w:tcPr>
          <w:p>
            <w:pPr>
              <w:jc w:val="right"/>
              <w:spacing w:after="0" w:line="189" w:lineRule="exact"/>
              <w:rPr>
                <w:sz w:val="20"/>
                <w:szCs w:val="20"/>
                <w:color w:val="auto"/>
              </w:rPr>
            </w:pPr>
            <w:r>
              <w:rPr>
                <w:rFonts w:ascii="Arial" w:cs="Arial" w:eastAsia="Arial" w:hAnsi="Arial"/>
                <w:sz w:val="18"/>
                <w:szCs w:val="18"/>
                <w:color w:val="auto"/>
              </w:rPr>
              <w:t>$0.33825</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Preference Shares, Series F</w:t>
            </w:r>
          </w:p>
        </w:tc>
        <w:tc>
          <w:tcPr>
            <w:tcW w:w="5200" w:type="dxa"/>
            <w:vAlign w:val="bottom"/>
          </w:tcPr>
          <w:p>
            <w:pPr>
              <w:jc w:val="right"/>
              <w:spacing w:after="0" w:line="189" w:lineRule="exact"/>
              <w:rPr>
                <w:sz w:val="20"/>
                <w:szCs w:val="20"/>
                <w:color w:val="auto"/>
              </w:rPr>
            </w:pPr>
            <w:r>
              <w:rPr>
                <w:rFonts w:ascii="Arial" w:cs="Arial" w:eastAsia="Arial" w:hAnsi="Arial"/>
                <w:sz w:val="18"/>
                <w:szCs w:val="18"/>
                <w:color w:val="auto"/>
              </w:rPr>
              <w:t>$0.34613</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Preference Shares, Series G</w:t>
            </w:r>
            <w:r>
              <w:rPr>
                <w:rFonts w:ascii="Arial" w:cs="Arial" w:eastAsia="Arial" w:hAnsi="Arial"/>
                <w:sz w:val="9"/>
                <w:szCs w:val="9"/>
                <w:color w:val="auto"/>
              </w:rPr>
              <w:t>1</w:t>
            </w:r>
          </w:p>
        </w:tc>
        <w:tc>
          <w:tcPr>
            <w:tcW w:w="5200" w:type="dxa"/>
            <w:vAlign w:val="bottom"/>
          </w:tcPr>
          <w:p>
            <w:pPr>
              <w:jc w:val="right"/>
              <w:spacing w:after="0" w:line="189" w:lineRule="exact"/>
              <w:rPr>
                <w:sz w:val="20"/>
                <w:szCs w:val="20"/>
                <w:color w:val="auto"/>
              </w:rPr>
            </w:pPr>
            <w:r>
              <w:rPr>
                <w:rFonts w:ascii="Arial" w:cs="Arial" w:eastAsia="Arial" w:hAnsi="Arial"/>
                <w:sz w:val="18"/>
                <w:szCs w:val="18"/>
                <w:color w:val="auto"/>
              </w:rPr>
              <w:t>$0.29616</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Preference Shares, Series H</w:t>
            </w:r>
          </w:p>
        </w:tc>
        <w:tc>
          <w:tcPr>
            <w:tcW w:w="5200" w:type="dxa"/>
            <w:vAlign w:val="bottom"/>
          </w:tcPr>
          <w:p>
            <w:pPr>
              <w:jc w:val="right"/>
              <w:spacing w:after="0" w:line="189" w:lineRule="exact"/>
              <w:rPr>
                <w:sz w:val="20"/>
                <w:szCs w:val="20"/>
                <w:color w:val="auto"/>
              </w:rPr>
            </w:pPr>
            <w:r>
              <w:rPr>
                <w:rFonts w:ascii="Arial" w:cs="Arial" w:eastAsia="Arial" w:hAnsi="Arial"/>
                <w:sz w:val="18"/>
                <w:szCs w:val="18"/>
                <w:color w:val="auto"/>
              </w:rPr>
              <w:t>$0.38200</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Preference Shares, Series I</w:t>
            </w:r>
            <w:r>
              <w:rPr>
                <w:rFonts w:ascii="Arial" w:cs="Arial" w:eastAsia="Arial" w:hAnsi="Arial"/>
                <w:sz w:val="9"/>
                <w:szCs w:val="9"/>
                <w:color w:val="auto"/>
              </w:rPr>
              <w:t>2</w:t>
            </w:r>
          </w:p>
        </w:tc>
        <w:tc>
          <w:tcPr>
            <w:tcW w:w="5200" w:type="dxa"/>
            <w:vAlign w:val="bottom"/>
          </w:tcPr>
          <w:p>
            <w:pPr>
              <w:jc w:val="right"/>
              <w:spacing w:after="0" w:line="189" w:lineRule="exact"/>
              <w:rPr>
                <w:sz w:val="20"/>
                <w:szCs w:val="20"/>
                <w:color w:val="auto"/>
              </w:rPr>
            </w:pPr>
            <w:r>
              <w:rPr>
                <w:rFonts w:ascii="Arial" w:cs="Arial" w:eastAsia="Arial" w:hAnsi="Arial"/>
                <w:sz w:val="18"/>
                <w:szCs w:val="18"/>
                <w:color w:val="auto"/>
              </w:rPr>
              <w:t>$0.27159</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Preference Shares, Series L</w:t>
            </w:r>
          </w:p>
        </w:tc>
        <w:tc>
          <w:tcPr>
            <w:tcW w:w="5200" w:type="dxa"/>
            <w:vAlign w:val="bottom"/>
          </w:tcPr>
          <w:p>
            <w:pPr>
              <w:jc w:val="right"/>
              <w:spacing w:after="0" w:line="189" w:lineRule="exact"/>
              <w:rPr>
                <w:sz w:val="20"/>
                <w:szCs w:val="20"/>
                <w:color w:val="auto"/>
              </w:rPr>
            </w:pPr>
            <w:r>
              <w:rPr>
                <w:rFonts w:ascii="Arial" w:cs="Arial" w:eastAsia="Arial" w:hAnsi="Arial"/>
                <w:sz w:val="18"/>
                <w:szCs w:val="18"/>
                <w:color w:val="auto"/>
              </w:rPr>
              <w:t>US$0.36612</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Preference Shares, Series N</w:t>
            </w:r>
          </w:p>
        </w:tc>
        <w:tc>
          <w:tcPr>
            <w:tcW w:w="5200" w:type="dxa"/>
            <w:vAlign w:val="bottom"/>
          </w:tcPr>
          <w:p>
            <w:pPr>
              <w:jc w:val="right"/>
              <w:spacing w:after="0" w:line="189" w:lineRule="exact"/>
              <w:rPr>
                <w:sz w:val="20"/>
                <w:szCs w:val="20"/>
                <w:color w:val="auto"/>
              </w:rPr>
            </w:pPr>
            <w:r>
              <w:rPr>
                <w:rFonts w:ascii="Arial" w:cs="Arial" w:eastAsia="Arial" w:hAnsi="Arial"/>
                <w:sz w:val="18"/>
                <w:szCs w:val="18"/>
                <w:color w:val="auto"/>
              </w:rPr>
              <w:t>$0.41850</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Preference Shares, Series P</w:t>
            </w:r>
          </w:p>
        </w:tc>
        <w:tc>
          <w:tcPr>
            <w:tcW w:w="5200" w:type="dxa"/>
            <w:vAlign w:val="bottom"/>
          </w:tcPr>
          <w:p>
            <w:pPr>
              <w:jc w:val="right"/>
              <w:spacing w:after="0" w:line="189" w:lineRule="exact"/>
              <w:rPr>
                <w:sz w:val="20"/>
                <w:szCs w:val="20"/>
                <w:color w:val="auto"/>
              </w:rPr>
            </w:pPr>
            <w:r>
              <w:rPr>
                <w:rFonts w:ascii="Arial" w:cs="Arial" w:eastAsia="Arial" w:hAnsi="Arial"/>
                <w:sz w:val="18"/>
                <w:szCs w:val="18"/>
                <w:color w:val="auto"/>
              </w:rPr>
              <w:t>$0.36988</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Preference Shares, Series R</w:t>
            </w:r>
          </w:p>
        </w:tc>
        <w:tc>
          <w:tcPr>
            <w:tcW w:w="5200" w:type="dxa"/>
            <w:vAlign w:val="bottom"/>
          </w:tcPr>
          <w:p>
            <w:pPr>
              <w:jc w:val="right"/>
              <w:spacing w:after="0" w:line="189" w:lineRule="exact"/>
              <w:rPr>
                <w:sz w:val="20"/>
                <w:szCs w:val="20"/>
                <w:color w:val="auto"/>
              </w:rPr>
            </w:pPr>
            <w:r>
              <w:rPr>
                <w:rFonts w:ascii="Arial" w:cs="Arial" w:eastAsia="Arial" w:hAnsi="Arial"/>
                <w:sz w:val="18"/>
                <w:szCs w:val="18"/>
                <w:color w:val="auto"/>
              </w:rPr>
              <w:t>$0.39463</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Preference Shares, Series 1</w:t>
            </w:r>
          </w:p>
        </w:tc>
        <w:tc>
          <w:tcPr>
            <w:tcW w:w="5200" w:type="dxa"/>
            <w:vAlign w:val="bottom"/>
          </w:tcPr>
          <w:p>
            <w:pPr>
              <w:jc w:val="right"/>
              <w:spacing w:after="0" w:line="189" w:lineRule="exact"/>
              <w:rPr>
                <w:sz w:val="20"/>
                <w:szCs w:val="20"/>
                <w:color w:val="auto"/>
              </w:rPr>
            </w:pPr>
            <w:r>
              <w:rPr>
                <w:rFonts w:ascii="Arial" w:cs="Arial" w:eastAsia="Arial" w:hAnsi="Arial"/>
                <w:sz w:val="18"/>
                <w:szCs w:val="18"/>
                <w:color w:val="auto"/>
              </w:rPr>
              <w:t>US$0.41898</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Preference Shares, Series 3</w:t>
            </w:r>
          </w:p>
        </w:tc>
        <w:tc>
          <w:tcPr>
            <w:tcW w:w="5200" w:type="dxa"/>
            <w:vAlign w:val="bottom"/>
          </w:tcPr>
          <w:p>
            <w:pPr>
              <w:jc w:val="right"/>
              <w:spacing w:after="0" w:line="189" w:lineRule="exact"/>
              <w:rPr>
                <w:sz w:val="20"/>
                <w:szCs w:val="20"/>
                <w:color w:val="auto"/>
              </w:rPr>
            </w:pPr>
            <w:r>
              <w:rPr>
                <w:rFonts w:ascii="Arial" w:cs="Arial" w:eastAsia="Arial" w:hAnsi="Arial"/>
                <w:sz w:val="18"/>
                <w:szCs w:val="18"/>
                <w:color w:val="auto"/>
              </w:rPr>
              <w:t>$0.33050</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Preference Shares, Series 4</w:t>
            </w:r>
            <w:r>
              <w:rPr>
                <w:rFonts w:ascii="Arial" w:cs="Arial" w:eastAsia="Arial" w:hAnsi="Arial"/>
                <w:sz w:val="9"/>
                <w:szCs w:val="9"/>
                <w:color w:val="auto"/>
              </w:rPr>
              <w:t>3</w:t>
            </w:r>
          </w:p>
        </w:tc>
        <w:tc>
          <w:tcPr>
            <w:tcW w:w="5200" w:type="dxa"/>
            <w:vAlign w:val="bottom"/>
          </w:tcPr>
          <w:p>
            <w:pPr>
              <w:jc w:val="right"/>
              <w:spacing w:after="0" w:line="189" w:lineRule="exact"/>
              <w:rPr>
                <w:sz w:val="20"/>
                <w:szCs w:val="20"/>
                <w:color w:val="auto"/>
              </w:rPr>
            </w:pPr>
            <w:r>
              <w:rPr>
                <w:rFonts w:ascii="Arial" w:cs="Arial" w:eastAsia="Arial" w:hAnsi="Arial"/>
                <w:sz w:val="18"/>
                <w:szCs w:val="18"/>
                <w:color w:val="auto"/>
              </w:rPr>
              <w:t>$0.28797</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Preference Shares, Series 5</w:t>
            </w:r>
          </w:p>
        </w:tc>
        <w:tc>
          <w:tcPr>
            <w:tcW w:w="5200" w:type="dxa"/>
            <w:vAlign w:val="bottom"/>
          </w:tcPr>
          <w:p>
            <w:pPr>
              <w:jc w:val="right"/>
              <w:spacing w:after="0" w:line="189" w:lineRule="exact"/>
              <w:rPr>
                <w:sz w:val="20"/>
                <w:szCs w:val="20"/>
                <w:color w:val="auto"/>
              </w:rPr>
            </w:pPr>
            <w:r>
              <w:rPr>
                <w:rFonts w:ascii="Arial" w:cs="Arial" w:eastAsia="Arial" w:hAnsi="Arial"/>
                <w:sz w:val="18"/>
                <w:szCs w:val="18"/>
                <w:color w:val="auto"/>
              </w:rPr>
              <w:t>US$0.41769</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Preference Shares, Series 7</w:t>
            </w:r>
          </w:p>
        </w:tc>
        <w:tc>
          <w:tcPr>
            <w:tcW w:w="5200" w:type="dxa"/>
            <w:vAlign w:val="bottom"/>
          </w:tcPr>
          <w:p>
            <w:pPr>
              <w:jc w:val="right"/>
              <w:spacing w:after="0" w:line="189" w:lineRule="exact"/>
              <w:rPr>
                <w:sz w:val="20"/>
                <w:szCs w:val="20"/>
                <w:color w:val="auto"/>
              </w:rPr>
            </w:pPr>
            <w:r>
              <w:rPr>
                <w:rFonts w:ascii="Arial" w:cs="Arial" w:eastAsia="Arial" w:hAnsi="Arial"/>
                <w:sz w:val="18"/>
                <w:szCs w:val="18"/>
                <w:color w:val="auto"/>
              </w:rPr>
              <w:t>$0.37425</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Preference Shares, Series 9</w:t>
            </w:r>
          </w:p>
        </w:tc>
        <w:tc>
          <w:tcPr>
            <w:tcW w:w="5200" w:type="dxa"/>
            <w:vAlign w:val="bottom"/>
          </w:tcPr>
          <w:p>
            <w:pPr>
              <w:jc w:val="right"/>
              <w:spacing w:after="0" w:line="189" w:lineRule="exact"/>
              <w:rPr>
                <w:sz w:val="20"/>
                <w:szCs w:val="20"/>
                <w:color w:val="auto"/>
              </w:rPr>
            </w:pPr>
            <w:r>
              <w:rPr>
                <w:rFonts w:ascii="Arial" w:cs="Arial" w:eastAsia="Arial" w:hAnsi="Arial"/>
                <w:sz w:val="18"/>
                <w:szCs w:val="18"/>
                <w:color w:val="auto"/>
              </w:rPr>
              <w:t>$0.35450</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Preference Shares, Series 11</w:t>
            </w:r>
          </w:p>
        </w:tc>
        <w:tc>
          <w:tcPr>
            <w:tcW w:w="5200" w:type="dxa"/>
            <w:vAlign w:val="bottom"/>
          </w:tcPr>
          <w:p>
            <w:pPr>
              <w:jc w:val="right"/>
              <w:spacing w:after="0" w:line="189" w:lineRule="exact"/>
              <w:rPr>
                <w:sz w:val="20"/>
                <w:szCs w:val="20"/>
                <w:color w:val="auto"/>
              </w:rPr>
            </w:pPr>
            <w:r>
              <w:rPr>
                <w:rFonts w:ascii="Arial" w:cs="Arial" w:eastAsia="Arial" w:hAnsi="Arial"/>
                <w:sz w:val="18"/>
                <w:szCs w:val="18"/>
                <w:color w:val="auto"/>
              </w:rPr>
              <w:t>$0.34231</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Preference Shares, Series 13</w:t>
            </w:r>
          </w:p>
        </w:tc>
        <w:tc>
          <w:tcPr>
            <w:tcW w:w="5200" w:type="dxa"/>
            <w:vAlign w:val="bottom"/>
          </w:tcPr>
          <w:p>
            <w:pPr>
              <w:jc w:val="right"/>
              <w:spacing w:after="0" w:line="189" w:lineRule="exact"/>
              <w:rPr>
                <w:sz w:val="20"/>
                <w:szCs w:val="20"/>
                <w:color w:val="auto"/>
              </w:rPr>
            </w:pPr>
            <w:r>
              <w:rPr>
                <w:rFonts w:ascii="Arial" w:cs="Arial" w:eastAsia="Arial" w:hAnsi="Arial"/>
                <w:sz w:val="18"/>
                <w:szCs w:val="18"/>
                <w:color w:val="auto"/>
              </w:rPr>
              <w:t>$0.33719</w:t>
            </w:r>
          </w:p>
        </w:tc>
      </w:tr>
      <w:tr>
        <w:trPr>
          <w:trHeight w:val="189"/>
        </w:trPr>
        <w:tc>
          <w:tcPr>
            <w:tcW w:w="6040" w:type="dxa"/>
            <w:vAlign w:val="bottom"/>
          </w:tcPr>
          <w:p>
            <w:pPr>
              <w:spacing w:after="0" w:line="189" w:lineRule="exact"/>
              <w:rPr>
                <w:sz w:val="20"/>
                <w:szCs w:val="20"/>
                <w:color w:val="auto"/>
              </w:rPr>
            </w:pPr>
            <w:r>
              <w:rPr>
                <w:rFonts w:ascii="Arial" w:cs="Arial" w:eastAsia="Arial" w:hAnsi="Arial"/>
                <w:sz w:val="18"/>
                <w:szCs w:val="18"/>
                <w:color w:val="auto"/>
              </w:rPr>
              <w:t>Preference Shares, Series 15</w:t>
            </w:r>
          </w:p>
        </w:tc>
        <w:tc>
          <w:tcPr>
            <w:tcW w:w="5200" w:type="dxa"/>
            <w:vAlign w:val="bottom"/>
          </w:tcPr>
          <w:p>
            <w:pPr>
              <w:jc w:val="right"/>
              <w:spacing w:after="0" w:line="189" w:lineRule="exact"/>
              <w:rPr>
                <w:sz w:val="20"/>
                <w:szCs w:val="20"/>
                <w:color w:val="auto"/>
              </w:rPr>
            </w:pPr>
            <w:r>
              <w:rPr>
                <w:rFonts w:ascii="Arial" w:cs="Arial" w:eastAsia="Arial" w:hAnsi="Arial"/>
                <w:sz w:val="18"/>
                <w:szCs w:val="18"/>
                <w:color w:val="auto"/>
              </w:rPr>
              <w:t>$0.35163</w:t>
            </w:r>
          </w:p>
        </w:tc>
      </w:tr>
      <w:tr>
        <w:trPr>
          <w:trHeight w:val="221"/>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Preference Shares, Series 19</w:t>
            </w:r>
          </w:p>
        </w:tc>
        <w:tc>
          <w:tcPr>
            <w:tcW w:w="5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$0.38825</w:t>
            </w:r>
          </w:p>
        </w:tc>
      </w:tr>
    </w:tbl>
    <w:p>
      <w:pPr>
        <w:spacing w:after="0" w:line="33" w:lineRule="exact"/>
        <w:rPr>
          <w:sz w:val="20"/>
          <w:szCs w:val="20"/>
          <w:color w:val="auto"/>
        </w:rPr>
      </w:pPr>
    </w:p>
    <w:p>
      <w:pPr>
        <w:ind w:left="180" w:right="560" w:hanging="172"/>
        <w:spacing w:after="0" w:line="250" w:lineRule="auto"/>
        <w:tabs>
          <w:tab w:leader="none" w:pos="18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The quarterly dividend per share paid on Preference Shares, Series G was decreased to $0.29616 from $0.29836 on March 1, 2026 due to reset on a quarterly basis following the date of issuance.</w:t>
      </w:r>
    </w:p>
    <w:p>
      <w:pPr>
        <w:spacing w:after="0" w:line="1" w:lineRule="exact"/>
        <w:rPr>
          <w:sz w:val="20"/>
          <w:szCs w:val="20"/>
          <w:color w:val="auto"/>
        </w:rPr>
      </w:pPr>
    </w:p>
    <w:p>
      <w:pPr>
        <w:ind w:left="180" w:right="40" w:hanging="179"/>
        <w:spacing w:after="0" w:line="251" w:lineRule="auto"/>
        <w:tabs>
          <w:tab w:leader="none" w:pos="160" w:val="left"/>
        </w:tabs>
        <w:rPr>
          <w:sz w:val="20"/>
          <w:szCs w:val="20"/>
          <w:color w:val="auto"/>
        </w:rPr>
      </w:pPr>
      <w:r>
        <w:rPr>
          <w:rFonts w:ascii="Arial" w:cs="Arial" w:eastAsia="Arial" w:hAnsi="Arial"/>
          <w:sz w:val="14"/>
          <w:szCs w:val="14"/>
          <w:i w:val="1"/>
          <w:iCs w:val="1"/>
          <w:color w:val="auto"/>
        </w:rPr>
        <w:t>2</w:t>
        <w:tab/>
        <w:t>The quarterly dividend per share paid on Preference Shares, Series I was decreased to $0.27159 from $0.27432 on March 1, 2026 due to reset on a quarterly basis following the date of issuance.</w:t>
      </w:r>
    </w:p>
    <w:p>
      <w:pPr>
        <w:spacing w:after="0" w:line="1" w:lineRule="exact"/>
        <w:rPr>
          <w:sz w:val="20"/>
          <w:szCs w:val="20"/>
          <w:color w:val="auto"/>
        </w:rPr>
      </w:pPr>
    </w:p>
    <w:p>
      <w:pPr>
        <w:ind w:left="180" w:right="600" w:hanging="172"/>
        <w:spacing w:after="0" w:line="264" w:lineRule="auto"/>
        <w:tabs>
          <w:tab w:leader="none" w:pos="18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The quarterly dividend per share paid on Preference Shares, Series 4 was decreased to $0.28797 from $0.29034 on March 1, 2026 due to reset on a quarterly basis following the date of issuance.</w:t>
      </w:r>
    </w:p>
    <w:p>
      <w:pPr>
        <w:spacing w:after="0" w:line="10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6. DEBT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of our committed credit facilities as at March 31,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8"/>
                <w:szCs w:val="18"/>
                <w:color w:val="auto"/>
              </w:rPr>
            </w:pPr>
          </w:p>
        </w:tc>
        <w:tc>
          <w:tcPr>
            <w:tcW w:w="2980" w:type="dxa"/>
            <w:vAlign w:val="bottom"/>
            <w:vMerge w:val="restart"/>
          </w:tcPr>
          <w:p>
            <w:pPr>
              <w:jc w:val="right"/>
              <w:spacing w:after="0"/>
              <w:rPr>
                <w:sz w:val="20"/>
                <w:szCs w:val="20"/>
                <w:color w:val="auto"/>
              </w:rPr>
            </w:pPr>
            <w:r>
              <w:rPr>
                <w:rFonts w:ascii="Arial" w:cs="Arial" w:eastAsia="Arial" w:hAnsi="Arial"/>
                <w:sz w:val="18"/>
                <w:szCs w:val="18"/>
                <w:color w:val="auto"/>
              </w:rPr>
              <w:t>Maturity</w:t>
            </w:r>
            <w:r>
              <w:rPr>
                <w:rFonts w:ascii="Arial" w:cs="Arial" w:eastAsia="Arial" w:hAnsi="Arial"/>
                <w:sz w:val="9"/>
                <w:szCs w:val="9"/>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340" w:type="dxa"/>
            <w:vAlign w:val="bottom"/>
            <w:vMerge w:val="restart"/>
          </w:tcPr>
          <w:p>
            <w:pPr>
              <w:jc w:val="right"/>
              <w:ind w:right="170"/>
              <w:spacing w:after="0"/>
              <w:rPr>
                <w:sz w:val="20"/>
                <w:szCs w:val="20"/>
                <w:color w:val="auto"/>
              </w:rPr>
            </w:pPr>
            <w:r>
              <w:rPr>
                <w:rFonts w:ascii="Arial" w:cs="Arial" w:eastAsia="Arial" w:hAnsi="Arial"/>
                <w:sz w:val="18"/>
                <w:szCs w:val="18"/>
                <w:color w:val="auto"/>
              </w:rPr>
              <w:t>Draws</w:t>
            </w:r>
            <w:r>
              <w:rPr>
                <w:rFonts w:ascii="Arial" w:cs="Arial" w:eastAsia="Arial" w:hAnsi="Arial"/>
                <w:sz w:val="9"/>
                <w:szCs w:val="9"/>
                <w:color w:val="auto"/>
              </w:rPr>
              <w:t>2</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Available</w:t>
            </w:r>
          </w:p>
        </w:tc>
        <w:tc>
          <w:tcPr>
            <w:tcW w:w="0" w:type="dxa"/>
            <w:vAlign w:val="bottom"/>
          </w:tcPr>
          <w:p>
            <w:pPr>
              <w:spacing w:after="0"/>
              <w:rPr>
                <w:sz w:val="1"/>
                <w:szCs w:val="1"/>
                <w:color w:val="auto"/>
              </w:rPr>
            </w:pPr>
          </w:p>
        </w:tc>
      </w:tr>
      <w:tr>
        <w:trPr>
          <w:trHeight w:val="221"/>
        </w:trPr>
        <w:tc>
          <w:tcPr>
            <w:tcW w:w="45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Facility</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58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2980" w:type="dxa"/>
            <w:vAlign w:val="bottom"/>
          </w:tcPr>
          <w:p>
            <w:pPr>
              <w:spacing w:after="0"/>
              <w:rPr>
                <w:sz w:val="10"/>
                <w:szCs w:val="10"/>
                <w:color w:val="auto"/>
              </w:rPr>
            </w:pPr>
          </w:p>
        </w:tc>
        <w:tc>
          <w:tcPr>
            <w:tcW w:w="11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340" w:type="dxa"/>
            <w:vAlign w:val="bottom"/>
            <w:shd w:val="clear" w:color="auto" w:fill="DBDBDB"/>
          </w:tcPr>
          <w:p>
            <w:pPr>
              <w:spacing w:after="0"/>
              <w:rPr>
                <w:sz w:val="10"/>
                <w:szCs w:val="10"/>
                <w:color w:val="auto"/>
              </w:rPr>
            </w:pPr>
          </w:p>
        </w:tc>
        <w:tc>
          <w:tcPr>
            <w:tcW w:w="112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580" w:type="dxa"/>
            <w:vAlign w:val="bottom"/>
          </w:tcPr>
          <w:p>
            <w:pPr>
              <w:spacing w:after="0" w:line="183" w:lineRule="exact"/>
              <w:rPr>
                <w:sz w:val="20"/>
                <w:szCs w:val="20"/>
                <w:color w:val="auto"/>
              </w:rPr>
            </w:pPr>
            <w:r>
              <w:rPr>
                <w:rFonts w:ascii="Arial" w:cs="Arial" w:eastAsia="Arial" w:hAnsi="Arial"/>
                <w:sz w:val="18"/>
                <w:szCs w:val="18"/>
                <w:color w:val="auto"/>
              </w:rPr>
              <w:t>Enbridge Inc.</w:t>
            </w:r>
          </w:p>
        </w:tc>
        <w:tc>
          <w:tcPr>
            <w:tcW w:w="2980" w:type="dxa"/>
            <w:vAlign w:val="bottom"/>
          </w:tcPr>
          <w:p>
            <w:pPr>
              <w:jc w:val="right"/>
              <w:spacing w:after="0" w:line="183" w:lineRule="exact"/>
              <w:rPr>
                <w:sz w:val="20"/>
                <w:szCs w:val="20"/>
                <w:color w:val="auto"/>
              </w:rPr>
            </w:pPr>
            <w:r>
              <w:rPr>
                <w:rFonts w:ascii="Arial" w:cs="Arial" w:eastAsia="Arial" w:hAnsi="Arial"/>
                <w:sz w:val="18"/>
                <w:szCs w:val="18"/>
                <w:color w:val="auto"/>
              </w:rPr>
              <w:t>2027-2049</w:t>
            </w:r>
          </w:p>
        </w:tc>
        <w:tc>
          <w:tcPr>
            <w:tcW w:w="1120" w:type="dxa"/>
            <w:vAlign w:val="bottom"/>
            <w:shd w:val="clear" w:color="auto" w:fill="DBDBDB"/>
          </w:tcPr>
          <w:p>
            <w:pPr>
              <w:jc w:val="right"/>
              <w:spacing w:after="0" w:line="183" w:lineRule="exact"/>
              <w:rPr>
                <w:sz w:val="20"/>
                <w:szCs w:val="20"/>
                <w:color w:val="auto"/>
              </w:rPr>
            </w:pPr>
            <w:r>
              <w:rPr>
                <w:rFonts w:ascii="Arial" w:cs="Arial" w:eastAsia="Arial" w:hAnsi="Arial"/>
                <w:sz w:val="18"/>
                <w:szCs w:val="18"/>
                <w:b w:val="1"/>
                <w:bCs w:val="1"/>
                <w:color w:val="auto"/>
              </w:rPr>
              <w:t>8,040</w:t>
            </w:r>
          </w:p>
        </w:tc>
        <w:tc>
          <w:tcPr>
            <w:tcW w:w="1440" w:type="dxa"/>
            <w:vAlign w:val="bottom"/>
            <w:gridSpan w:val="2"/>
            <w:shd w:val="clear" w:color="auto" w:fill="DBDBDB"/>
          </w:tcPr>
          <w:p>
            <w:pPr>
              <w:jc w:val="right"/>
              <w:ind w:right="170"/>
              <w:spacing w:after="0" w:line="183" w:lineRule="exact"/>
              <w:rPr>
                <w:sz w:val="20"/>
                <w:szCs w:val="20"/>
                <w:color w:val="auto"/>
              </w:rPr>
            </w:pPr>
            <w:r>
              <w:rPr>
                <w:rFonts w:ascii="Arial" w:cs="Arial" w:eastAsia="Arial" w:hAnsi="Arial"/>
                <w:sz w:val="18"/>
                <w:szCs w:val="18"/>
                <w:b w:val="1"/>
                <w:bCs w:val="1"/>
                <w:color w:val="auto"/>
              </w:rPr>
              <w:t>5,905</w:t>
            </w:r>
          </w:p>
        </w:tc>
        <w:tc>
          <w:tcPr>
            <w:tcW w:w="1120" w:type="dxa"/>
            <w:vAlign w:val="bottom"/>
            <w:shd w:val="clear" w:color="auto" w:fill="DBDBDB"/>
          </w:tcPr>
          <w:p>
            <w:pPr>
              <w:jc w:val="right"/>
              <w:ind w:right="30"/>
              <w:spacing w:after="0" w:line="183" w:lineRule="exact"/>
              <w:rPr>
                <w:sz w:val="20"/>
                <w:szCs w:val="20"/>
                <w:color w:val="auto"/>
              </w:rPr>
            </w:pPr>
            <w:r>
              <w:rPr>
                <w:rFonts w:ascii="Arial" w:cs="Arial" w:eastAsia="Arial" w:hAnsi="Arial"/>
                <w:sz w:val="18"/>
                <w:szCs w:val="18"/>
                <w:b w:val="1"/>
                <w:bCs w:val="1"/>
                <w:color w:val="auto"/>
              </w:rPr>
              <w:t>2,135</w:t>
            </w:r>
          </w:p>
        </w:tc>
        <w:tc>
          <w:tcPr>
            <w:tcW w:w="0" w:type="dxa"/>
            <w:vAlign w:val="bottom"/>
          </w:tcPr>
          <w:p>
            <w:pPr>
              <w:spacing w:after="0"/>
              <w:rPr>
                <w:sz w:val="1"/>
                <w:szCs w:val="1"/>
                <w:color w:val="auto"/>
              </w:rPr>
            </w:pPr>
          </w:p>
        </w:tc>
      </w:tr>
      <w:tr>
        <w:trPr>
          <w:trHeight w:val="189"/>
        </w:trPr>
        <w:tc>
          <w:tcPr>
            <w:tcW w:w="4580" w:type="dxa"/>
            <w:vAlign w:val="bottom"/>
          </w:tcPr>
          <w:p>
            <w:pPr>
              <w:spacing w:after="0" w:line="189" w:lineRule="exact"/>
              <w:rPr>
                <w:sz w:val="20"/>
                <w:szCs w:val="20"/>
                <w:color w:val="auto"/>
              </w:rPr>
            </w:pPr>
            <w:r>
              <w:rPr>
                <w:rFonts w:ascii="Arial" w:cs="Arial" w:eastAsia="Arial" w:hAnsi="Arial"/>
                <w:sz w:val="18"/>
                <w:szCs w:val="18"/>
                <w:color w:val="auto"/>
              </w:rPr>
              <w:t>Enbridge (U.S.) Inc.</w:t>
            </w:r>
          </w:p>
        </w:tc>
        <w:tc>
          <w:tcPr>
            <w:tcW w:w="2980" w:type="dxa"/>
            <w:vAlign w:val="bottom"/>
          </w:tcPr>
          <w:p>
            <w:pPr>
              <w:jc w:val="right"/>
              <w:spacing w:after="0" w:line="189" w:lineRule="exact"/>
              <w:rPr>
                <w:sz w:val="20"/>
                <w:szCs w:val="20"/>
                <w:color w:val="auto"/>
              </w:rPr>
            </w:pPr>
            <w:r>
              <w:rPr>
                <w:rFonts w:ascii="Arial" w:cs="Arial" w:eastAsia="Arial" w:hAnsi="Arial"/>
                <w:sz w:val="18"/>
                <w:szCs w:val="18"/>
                <w:color w:val="auto"/>
              </w:rPr>
              <w:t>2027-2030</w:t>
            </w:r>
          </w:p>
        </w:tc>
        <w:tc>
          <w:tcPr>
            <w:tcW w:w="1120" w:type="dxa"/>
            <w:vAlign w:val="bottom"/>
            <w:shd w:val="clear" w:color="auto" w:fill="DBDBDB"/>
          </w:tcPr>
          <w:p>
            <w:pPr>
              <w:jc w:val="right"/>
              <w:spacing w:after="0" w:line="189" w:lineRule="exact"/>
              <w:rPr>
                <w:sz w:val="20"/>
                <w:szCs w:val="20"/>
                <w:color w:val="auto"/>
              </w:rPr>
            </w:pPr>
            <w:r>
              <w:rPr>
                <w:rFonts w:ascii="Arial" w:cs="Arial" w:eastAsia="Arial" w:hAnsi="Arial"/>
                <w:sz w:val="18"/>
                <w:szCs w:val="18"/>
                <w:b w:val="1"/>
                <w:bCs w:val="1"/>
                <w:color w:val="auto"/>
              </w:rPr>
              <w:t>10,493</w:t>
            </w:r>
          </w:p>
        </w:tc>
        <w:tc>
          <w:tcPr>
            <w:tcW w:w="1440" w:type="dxa"/>
            <w:vAlign w:val="bottom"/>
            <w:gridSpan w:val="2"/>
            <w:shd w:val="clear" w:color="auto" w:fill="DBDBDB"/>
          </w:tcPr>
          <w:p>
            <w:pPr>
              <w:jc w:val="right"/>
              <w:ind w:right="170"/>
              <w:spacing w:after="0" w:line="189" w:lineRule="exact"/>
              <w:rPr>
                <w:sz w:val="20"/>
                <w:szCs w:val="20"/>
                <w:color w:val="auto"/>
              </w:rPr>
            </w:pPr>
            <w:r>
              <w:rPr>
                <w:rFonts w:ascii="Arial" w:cs="Arial" w:eastAsia="Arial" w:hAnsi="Arial"/>
                <w:sz w:val="18"/>
                <w:szCs w:val="18"/>
                <w:b w:val="1"/>
                <w:bCs w:val="1"/>
                <w:color w:val="auto"/>
              </w:rPr>
              <w:t>3,772</w:t>
            </w:r>
          </w:p>
        </w:tc>
        <w:tc>
          <w:tcPr>
            <w:tcW w:w="1120" w:type="dxa"/>
            <w:vAlign w:val="bottom"/>
            <w:shd w:val="clear" w:color="auto" w:fill="DBDBDB"/>
          </w:tcPr>
          <w:p>
            <w:pPr>
              <w:jc w:val="right"/>
              <w:ind w:right="30"/>
              <w:spacing w:after="0" w:line="189" w:lineRule="exact"/>
              <w:rPr>
                <w:sz w:val="20"/>
                <w:szCs w:val="20"/>
                <w:color w:val="auto"/>
              </w:rPr>
            </w:pPr>
            <w:r>
              <w:rPr>
                <w:rFonts w:ascii="Arial" w:cs="Arial" w:eastAsia="Arial" w:hAnsi="Arial"/>
                <w:sz w:val="18"/>
                <w:szCs w:val="18"/>
                <w:b w:val="1"/>
                <w:bCs w:val="1"/>
                <w:color w:val="auto"/>
              </w:rPr>
              <w:t>6,721</w:t>
            </w:r>
          </w:p>
        </w:tc>
        <w:tc>
          <w:tcPr>
            <w:tcW w:w="0" w:type="dxa"/>
            <w:vAlign w:val="bottom"/>
          </w:tcPr>
          <w:p>
            <w:pPr>
              <w:spacing w:after="0"/>
              <w:rPr>
                <w:sz w:val="1"/>
                <w:szCs w:val="1"/>
                <w:color w:val="auto"/>
              </w:rPr>
            </w:pPr>
          </w:p>
        </w:tc>
      </w:tr>
      <w:tr>
        <w:trPr>
          <w:trHeight w:val="189"/>
        </w:trPr>
        <w:tc>
          <w:tcPr>
            <w:tcW w:w="4580" w:type="dxa"/>
            <w:vAlign w:val="bottom"/>
          </w:tcPr>
          <w:p>
            <w:pPr>
              <w:spacing w:after="0" w:line="189" w:lineRule="exact"/>
              <w:rPr>
                <w:sz w:val="20"/>
                <w:szCs w:val="20"/>
                <w:color w:val="auto"/>
              </w:rPr>
            </w:pPr>
            <w:r>
              <w:rPr>
                <w:rFonts w:ascii="Arial" w:cs="Arial" w:eastAsia="Arial" w:hAnsi="Arial"/>
                <w:sz w:val="18"/>
                <w:szCs w:val="18"/>
                <w:color w:val="auto"/>
              </w:rPr>
              <w:t>Enbridge Pipelines Inc.</w:t>
            </w:r>
          </w:p>
        </w:tc>
        <w:tc>
          <w:tcPr>
            <w:tcW w:w="2980" w:type="dxa"/>
            <w:vAlign w:val="bottom"/>
          </w:tcPr>
          <w:p>
            <w:pPr>
              <w:jc w:val="right"/>
              <w:spacing w:after="0" w:line="189" w:lineRule="exact"/>
              <w:rPr>
                <w:sz w:val="20"/>
                <w:szCs w:val="20"/>
                <w:color w:val="auto"/>
              </w:rPr>
            </w:pPr>
            <w:r>
              <w:rPr>
                <w:rFonts w:ascii="Arial" w:cs="Arial" w:eastAsia="Arial" w:hAnsi="Arial"/>
                <w:sz w:val="18"/>
                <w:szCs w:val="18"/>
                <w:color w:val="auto"/>
              </w:rPr>
              <w:t>2027</w:t>
            </w:r>
          </w:p>
        </w:tc>
        <w:tc>
          <w:tcPr>
            <w:tcW w:w="1120" w:type="dxa"/>
            <w:vAlign w:val="bottom"/>
            <w:shd w:val="clear" w:color="auto" w:fill="DBDBDB"/>
          </w:tcPr>
          <w:p>
            <w:pPr>
              <w:jc w:val="right"/>
              <w:spacing w:after="0" w:line="189" w:lineRule="exact"/>
              <w:rPr>
                <w:sz w:val="20"/>
                <w:szCs w:val="20"/>
                <w:color w:val="auto"/>
              </w:rPr>
            </w:pPr>
            <w:r>
              <w:rPr>
                <w:rFonts w:ascii="Arial" w:cs="Arial" w:eastAsia="Arial" w:hAnsi="Arial"/>
                <w:sz w:val="18"/>
                <w:szCs w:val="18"/>
                <w:b w:val="1"/>
                <w:bCs w:val="1"/>
                <w:color w:val="auto"/>
              </w:rPr>
              <w:t>2,000</w:t>
            </w:r>
          </w:p>
        </w:tc>
        <w:tc>
          <w:tcPr>
            <w:tcW w:w="100" w:type="dxa"/>
            <w:vAlign w:val="bottom"/>
            <w:shd w:val="clear" w:color="auto" w:fill="DBDBDB"/>
          </w:tcPr>
          <w:p>
            <w:pPr>
              <w:spacing w:after="0"/>
              <w:rPr>
                <w:sz w:val="16"/>
                <w:szCs w:val="16"/>
                <w:color w:val="auto"/>
              </w:rPr>
            </w:pPr>
          </w:p>
        </w:tc>
        <w:tc>
          <w:tcPr>
            <w:tcW w:w="1340" w:type="dxa"/>
            <w:vAlign w:val="bottom"/>
            <w:shd w:val="clear" w:color="auto" w:fill="DBDBDB"/>
          </w:tcPr>
          <w:p>
            <w:pPr>
              <w:jc w:val="right"/>
              <w:ind w:right="170"/>
              <w:spacing w:after="0" w:line="189" w:lineRule="exact"/>
              <w:rPr>
                <w:sz w:val="20"/>
                <w:szCs w:val="20"/>
                <w:color w:val="auto"/>
              </w:rPr>
            </w:pPr>
            <w:r>
              <w:rPr>
                <w:rFonts w:ascii="Arial" w:cs="Arial" w:eastAsia="Arial" w:hAnsi="Arial"/>
                <w:sz w:val="18"/>
                <w:szCs w:val="18"/>
                <w:b w:val="1"/>
                <w:bCs w:val="1"/>
                <w:color w:val="auto"/>
              </w:rPr>
              <w:t>847</w:t>
            </w:r>
          </w:p>
        </w:tc>
        <w:tc>
          <w:tcPr>
            <w:tcW w:w="1120" w:type="dxa"/>
            <w:vAlign w:val="bottom"/>
            <w:shd w:val="clear" w:color="auto" w:fill="DBDBDB"/>
          </w:tcPr>
          <w:p>
            <w:pPr>
              <w:jc w:val="right"/>
              <w:ind w:right="30"/>
              <w:spacing w:after="0" w:line="189" w:lineRule="exact"/>
              <w:rPr>
                <w:sz w:val="20"/>
                <w:szCs w:val="20"/>
                <w:color w:val="auto"/>
              </w:rPr>
            </w:pPr>
            <w:r>
              <w:rPr>
                <w:rFonts w:ascii="Arial" w:cs="Arial" w:eastAsia="Arial" w:hAnsi="Arial"/>
                <w:sz w:val="18"/>
                <w:szCs w:val="18"/>
                <w:b w:val="1"/>
                <w:bCs w:val="1"/>
                <w:color w:val="auto"/>
              </w:rPr>
              <w:t>1,153</w:t>
            </w:r>
          </w:p>
        </w:tc>
        <w:tc>
          <w:tcPr>
            <w:tcW w:w="0" w:type="dxa"/>
            <w:vAlign w:val="bottom"/>
          </w:tcPr>
          <w:p>
            <w:pPr>
              <w:spacing w:after="0"/>
              <w:rPr>
                <w:sz w:val="1"/>
                <w:szCs w:val="1"/>
                <w:color w:val="auto"/>
              </w:rPr>
            </w:pPr>
          </w:p>
        </w:tc>
      </w:tr>
      <w:tr>
        <w:trPr>
          <w:trHeight w:val="22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Enbridge Gas Inc.</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2,500</w:t>
            </w:r>
          </w:p>
        </w:tc>
        <w:tc>
          <w:tcPr>
            <w:tcW w:w="10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b w:val="1"/>
                <w:bCs w:val="1"/>
                <w:color w:val="auto"/>
              </w:rPr>
              <w:t>1,490</w:t>
            </w:r>
          </w:p>
        </w:tc>
        <w:tc>
          <w:tcPr>
            <w:tcW w:w="112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rPr>
              <w:t>1,010</w:t>
            </w:r>
          </w:p>
        </w:tc>
        <w:tc>
          <w:tcPr>
            <w:tcW w:w="0" w:type="dxa"/>
            <w:vAlign w:val="bottom"/>
          </w:tcPr>
          <w:p>
            <w:pPr>
              <w:spacing w:after="0"/>
              <w:rPr>
                <w:sz w:val="1"/>
                <w:szCs w:val="1"/>
                <w:color w:val="auto"/>
              </w:rPr>
            </w:pPr>
          </w:p>
        </w:tc>
      </w:tr>
      <w:tr>
        <w:trPr>
          <w:trHeight w:val="183"/>
        </w:trPr>
        <w:tc>
          <w:tcPr>
            <w:tcW w:w="458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Total committed credit facilities</w:t>
            </w:r>
          </w:p>
        </w:tc>
        <w:tc>
          <w:tcPr>
            <w:tcW w:w="29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shd w:val="clear" w:color="auto" w:fill="DBDBDB"/>
          </w:tcPr>
          <w:p>
            <w:pPr>
              <w:jc w:val="right"/>
              <w:spacing w:after="0" w:line="182" w:lineRule="exact"/>
              <w:rPr>
                <w:sz w:val="20"/>
                <w:szCs w:val="20"/>
                <w:color w:val="auto"/>
              </w:rPr>
            </w:pPr>
            <w:r>
              <w:rPr>
                <w:rFonts w:ascii="Arial" w:cs="Arial" w:eastAsia="Arial" w:hAnsi="Arial"/>
                <w:sz w:val="18"/>
                <w:szCs w:val="18"/>
                <w:b w:val="1"/>
                <w:bCs w:val="1"/>
                <w:color w:val="auto"/>
              </w:rPr>
              <w:t>23,033</w:t>
            </w:r>
          </w:p>
        </w:tc>
        <w:tc>
          <w:tcPr>
            <w:tcW w:w="10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ind w:right="170"/>
              <w:spacing w:after="0" w:line="182" w:lineRule="exact"/>
              <w:rPr>
                <w:sz w:val="20"/>
                <w:szCs w:val="20"/>
                <w:color w:val="auto"/>
              </w:rPr>
            </w:pPr>
            <w:r>
              <w:rPr>
                <w:rFonts w:ascii="Arial" w:cs="Arial" w:eastAsia="Arial" w:hAnsi="Arial"/>
                <w:sz w:val="18"/>
                <w:szCs w:val="18"/>
                <w:b w:val="1"/>
                <w:bCs w:val="1"/>
                <w:color w:val="auto"/>
              </w:rPr>
              <w:t>12,014</w:t>
            </w:r>
          </w:p>
        </w:tc>
        <w:tc>
          <w:tcPr>
            <w:tcW w:w="1120" w:type="dxa"/>
            <w:vAlign w:val="bottom"/>
            <w:tcBorders>
              <w:bottom w:val="single" w:sz="8" w:color="auto"/>
            </w:tcBorders>
            <w:shd w:val="clear" w:color="auto" w:fill="DBDBDB"/>
          </w:tcPr>
          <w:p>
            <w:pPr>
              <w:jc w:val="right"/>
              <w:ind w:right="30"/>
              <w:spacing w:after="0" w:line="182" w:lineRule="exact"/>
              <w:rPr>
                <w:sz w:val="20"/>
                <w:szCs w:val="20"/>
                <w:color w:val="auto"/>
              </w:rPr>
            </w:pPr>
            <w:r>
              <w:rPr>
                <w:rFonts w:ascii="Arial" w:cs="Arial" w:eastAsia="Arial" w:hAnsi="Arial"/>
                <w:sz w:val="18"/>
                <w:szCs w:val="18"/>
                <w:b w:val="1"/>
                <w:bCs w:val="1"/>
                <w:color w:val="auto"/>
              </w:rPr>
              <w:t>11,019</w:t>
            </w:r>
          </w:p>
        </w:tc>
        <w:tc>
          <w:tcPr>
            <w:tcW w:w="0" w:type="dxa"/>
            <w:vAlign w:val="bottom"/>
          </w:tcPr>
          <w:p>
            <w:pPr>
              <w:spacing w:after="0"/>
              <w:rPr>
                <w:sz w:val="1"/>
                <w:szCs w:val="1"/>
                <w:color w:val="auto"/>
              </w:rPr>
            </w:pPr>
          </w:p>
        </w:tc>
      </w:tr>
    </w:tbl>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Maturity date is inclusive of the one-year term out option for certain credit facilities.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  Includes facility draws and commercial paper issuances that are back-stopped by credit facilities.</w:t>
      </w:r>
    </w:p>
    <w:p>
      <w:pPr>
        <w:spacing w:after="0" w:line="19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In addition to the committed credit facilities noted above, we maintain $1.6 billion of uncommitted demand letter of credit facilities, of which $923 million was unutilized as at March 31, 2026. As at December 31, 2025, we had $1.6 billion of uncommitted demand letter of credit facilities, of which $932 million was unutilized.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spacing w:after="0" w:line="18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Our credit facilities carry a weighted average standby fee of 0.1% per annum on the unused portion and draws bear interest at market rates. Certain credit facilities serve as a back-stop to our commercial paper programs and we have the option to extend such facilities, which are currently scheduled to mature from 2027 to 2049.</w:t>
      </w:r>
    </w:p>
    <w:p>
      <w:pPr>
        <w:spacing w:after="0" w:line="16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As at March 31, 2026 and December 31, 2025, commercial paper and credit facility draws, net of short-term borrowings and non-revolving credit facilities that mature within one year, of $10.5 billion and $12.1 billion, respectively, were supported by the availability of long-term committed credit facilities and, therefore, have been classified as long-term debt.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ISSUANCES</w:t>
      </w:r>
    </w:p>
    <w:p>
      <w:pPr>
        <w:spacing w:after="0" w:line="238" w:lineRule="auto"/>
        <w:rPr>
          <w:sz w:val="20"/>
          <w:szCs w:val="20"/>
          <w:color w:val="auto"/>
        </w:rPr>
      </w:pPr>
      <w:r>
        <w:rPr>
          <w:rFonts w:ascii="Arial" w:cs="Arial" w:eastAsia="Arial" w:hAnsi="Arial"/>
          <w:sz w:val="18"/>
          <w:szCs w:val="18"/>
          <w:color w:val="auto"/>
        </w:rPr>
        <w:t>During the three months ended March 31, 2026, we completed the following long-term debt issuances totaling $2.0 billion and US$2.0 billion:</w:t>
      </w:r>
    </w:p>
    <w:tbl>
      <w:tblPr>
        <w:tblLayout w:type="fixed"/>
        <w:tblInd w:w="0" w:type="dxa"/>
        <w:tblCellMar>
          <w:top w:w="0" w:type="dxa"/>
          <w:left w:w="0" w:type="dxa"/>
          <w:bottom w:w="0" w:type="dxa"/>
          <w:right w:w="0" w:type="dxa"/>
        </w:tblCellMar>
      </w:tblPr>
      <w:tr>
        <w:trPr>
          <w:trHeight w:val="160"/>
        </w:trPr>
        <w:tc>
          <w:tcPr>
            <w:tcW w:w="1320" w:type="dxa"/>
            <w:vAlign w:val="bottom"/>
            <w:vMerge w:val="restart"/>
          </w:tcPr>
          <w:p>
            <w:pPr>
              <w:spacing w:after="0"/>
              <w:rPr>
                <w:sz w:val="20"/>
                <w:szCs w:val="20"/>
                <w:color w:val="auto"/>
              </w:rPr>
            </w:pPr>
            <w:r>
              <w:rPr>
                <w:rFonts w:ascii="Arial" w:cs="Arial" w:eastAsia="Arial" w:hAnsi="Arial"/>
                <w:sz w:val="16"/>
                <w:szCs w:val="16"/>
                <w:color w:val="auto"/>
              </w:rPr>
              <w:t>Company</w:t>
            </w:r>
          </w:p>
        </w:tc>
        <w:tc>
          <w:tcPr>
            <w:tcW w:w="2040" w:type="dxa"/>
            <w:vAlign w:val="bottom"/>
            <w:vMerge w:val="restart"/>
          </w:tcPr>
          <w:p>
            <w:pPr>
              <w:ind w:left="380"/>
              <w:spacing w:after="0"/>
              <w:rPr>
                <w:sz w:val="20"/>
                <w:szCs w:val="20"/>
                <w:color w:val="auto"/>
              </w:rPr>
            </w:pPr>
            <w:r>
              <w:rPr>
                <w:rFonts w:ascii="Arial" w:cs="Arial" w:eastAsia="Arial" w:hAnsi="Arial"/>
                <w:sz w:val="16"/>
                <w:szCs w:val="16"/>
                <w:color w:val="auto"/>
              </w:rPr>
              <w:t>Issuance Date</w:t>
            </w:r>
          </w:p>
        </w:tc>
        <w:tc>
          <w:tcPr>
            <w:tcW w:w="86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360" w:type="dxa"/>
            <w:vAlign w:val="bottom"/>
          </w:tcPr>
          <w:p>
            <w:pPr>
              <w:jc w:val="right"/>
              <w:spacing w:after="0" w:line="160" w:lineRule="exact"/>
              <w:rPr>
                <w:sz w:val="20"/>
                <w:szCs w:val="20"/>
                <w:color w:val="auto"/>
              </w:rPr>
            </w:pPr>
            <w:r>
              <w:rPr>
                <w:rFonts w:ascii="Arial" w:cs="Arial" w:eastAsia="Arial" w:hAnsi="Arial"/>
                <w:sz w:val="16"/>
                <w:szCs w:val="16"/>
                <w:color w:val="auto"/>
              </w:rPr>
              <w:t>Principal</w:t>
            </w:r>
          </w:p>
        </w:tc>
        <w:tc>
          <w:tcPr>
            <w:tcW w:w="0" w:type="dxa"/>
            <w:vAlign w:val="bottom"/>
          </w:tcPr>
          <w:p>
            <w:pPr>
              <w:spacing w:after="0"/>
              <w:rPr>
                <w:sz w:val="1"/>
                <w:szCs w:val="1"/>
                <w:color w:val="auto"/>
              </w:rPr>
            </w:pPr>
          </w:p>
        </w:tc>
      </w:tr>
      <w:tr>
        <w:trPr>
          <w:trHeight w:val="190"/>
        </w:trPr>
        <w:tc>
          <w:tcPr>
            <w:tcW w:w="132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w:t>
            </w:r>
          </w:p>
        </w:tc>
        <w:tc>
          <w:tcPr>
            <w:tcW w:w="0" w:type="dxa"/>
            <w:vAlign w:val="bottom"/>
          </w:tcPr>
          <w:p>
            <w:pPr>
              <w:spacing w:after="0"/>
              <w:rPr>
                <w:sz w:val="1"/>
                <w:szCs w:val="1"/>
                <w:color w:val="auto"/>
              </w:rPr>
            </w:pPr>
          </w:p>
        </w:tc>
      </w:tr>
      <w:tr>
        <w:trPr>
          <w:trHeight w:val="114"/>
        </w:trPr>
        <w:tc>
          <w:tcPr>
            <w:tcW w:w="3360" w:type="dxa"/>
            <w:vAlign w:val="bottom"/>
            <w:gridSpan w:val="2"/>
          </w:tcPr>
          <w:p>
            <w:pPr>
              <w:spacing w:after="0" w:line="114" w:lineRule="exact"/>
              <w:rPr>
                <w:sz w:val="20"/>
                <w:szCs w:val="20"/>
                <w:color w:val="auto"/>
              </w:rPr>
            </w:pPr>
            <w:r>
              <w:rPr>
                <w:rFonts w:ascii="Arial" w:cs="Arial" w:eastAsia="Arial" w:hAnsi="Arial"/>
                <w:sz w:val="13"/>
                <w:szCs w:val="13"/>
                <w:i w:val="1"/>
                <w:iCs w:val="1"/>
                <w:color w:val="auto"/>
              </w:rPr>
              <w:t>(millions of Canadian dollars, unless otherwise stated)</w:t>
            </w:r>
          </w:p>
        </w:tc>
        <w:tc>
          <w:tcPr>
            <w:tcW w:w="86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20"/>
                <w:szCs w:val="20"/>
                <w:color w:val="auto"/>
              </w:rPr>
            </w:pPr>
            <w:r>
              <w:rPr>
                <w:rFonts w:ascii="Arial" w:cs="Arial" w:eastAsia="Arial" w:hAnsi="Arial"/>
                <w:sz w:val="16"/>
                <w:szCs w:val="16"/>
                <w:color w:val="auto"/>
              </w:rPr>
              <w:t>Enbridge Inc.</w:t>
            </w:r>
          </w:p>
        </w:tc>
        <w:tc>
          <w:tcPr>
            <w:tcW w:w="2040" w:type="dxa"/>
            <w:vAlign w:val="bottom"/>
            <w:vMerge w:val="restart"/>
          </w:tcPr>
          <w:p>
            <w:pPr>
              <w:ind w:left="380"/>
              <w:spacing w:after="0"/>
              <w:rPr>
                <w:sz w:val="20"/>
                <w:szCs w:val="20"/>
                <w:color w:val="auto"/>
              </w:rPr>
            </w:pPr>
            <w:r>
              <w:rPr>
                <w:rFonts w:ascii="Arial" w:cs="Arial" w:eastAsia="Arial" w:hAnsi="Arial"/>
                <w:sz w:val="16"/>
                <w:szCs w:val="16"/>
                <w:color w:val="auto"/>
              </w:rPr>
              <w:t>February 2026</w:t>
            </w:r>
          </w:p>
        </w:tc>
        <w:tc>
          <w:tcPr>
            <w:tcW w:w="860" w:type="dxa"/>
            <w:vAlign w:val="bottom"/>
            <w:vMerge w:val="restart"/>
          </w:tcPr>
          <w:p>
            <w:pPr>
              <w:jc w:val="right"/>
              <w:ind w:right="179"/>
              <w:spacing w:after="0"/>
              <w:rPr>
                <w:sz w:val="20"/>
                <w:szCs w:val="20"/>
                <w:color w:val="auto"/>
              </w:rPr>
            </w:pPr>
            <w:r>
              <w:rPr>
                <w:rFonts w:ascii="Arial" w:cs="Arial" w:eastAsia="Arial" w:hAnsi="Arial"/>
                <w:sz w:val="16"/>
                <w:szCs w:val="16"/>
                <w:color w:val="auto"/>
              </w:rPr>
              <w:t>3.57%</w:t>
            </w:r>
          </w:p>
        </w:tc>
        <w:tc>
          <w:tcPr>
            <w:tcW w:w="4660" w:type="dxa"/>
            <w:vAlign w:val="bottom"/>
            <w:vMerge w:val="restart"/>
          </w:tcPr>
          <w:p>
            <w:pPr>
              <w:ind w:left="240"/>
              <w:spacing w:after="0"/>
              <w:rPr>
                <w:sz w:val="20"/>
                <w:szCs w:val="20"/>
                <w:color w:val="auto"/>
              </w:rPr>
            </w:pPr>
            <w:r>
              <w:rPr>
                <w:rFonts w:ascii="Arial" w:cs="Arial" w:eastAsia="Arial" w:hAnsi="Arial"/>
                <w:sz w:val="16"/>
                <w:szCs w:val="16"/>
                <w:color w:val="auto"/>
              </w:rPr>
              <w:t>medium-term notes due February 2031</w:t>
            </w:r>
          </w:p>
        </w:tc>
        <w:tc>
          <w:tcPr>
            <w:tcW w:w="2360" w:type="dxa"/>
            <w:vAlign w:val="bottom"/>
            <w:vMerge w:val="restart"/>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136"/>
        </w:trPr>
        <w:tc>
          <w:tcPr>
            <w:tcW w:w="132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4660" w:type="dxa"/>
            <w:vAlign w:val="bottom"/>
            <w:vMerge w:val="continue"/>
          </w:tcPr>
          <w:p>
            <w:pPr>
              <w:spacing w:after="0"/>
              <w:rPr>
                <w:sz w:val="11"/>
                <w:szCs w:val="11"/>
                <w:color w:val="auto"/>
              </w:rPr>
            </w:pPr>
          </w:p>
        </w:tc>
        <w:tc>
          <w:tcPr>
            <w:tcW w:w="2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2040" w:type="dxa"/>
            <w:vAlign w:val="bottom"/>
          </w:tcPr>
          <w:p>
            <w:pPr>
              <w:ind w:left="380"/>
              <w:spacing w:after="0" w:line="175" w:lineRule="exact"/>
              <w:rPr>
                <w:sz w:val="20"/>
                <w:szCs w:val="20"/>
                <w:color w:val="auto"/>
              </w:rPr>
            </w:pPr>
            <w:r>
              <w:rPr>
                <w:rFonts w:ascii="Arial" w:cs="Arial" w:eastAsia="Arial" w:hAnsi="Arial"/>
                <w:sz w:val="16"/>
                <w:szCs w:val="16"/>
                <w:color w:val="auto"/>
              </w:rPr>
              <w:t>February 2026</w:t>
            </w:r>
          </w:p>
        </w:tc>
        <w:tc>
          <w:tcPr>
            <w:tcW w:w="860" w:type="dxa"/>
            <w:vAlign w:val="bottom"/>
          </w:tcPr>
          <w:p>
            <w:pPr>
              <w:jc w:val="right"/>
              <w:ind w:right="179"/>
              <w:spacing w:after="0" w:line="175" w:lineRule="exact"/>
              <w:rPr>
                <w:sz w:val="20"/>
                <w:szCs w:val="20"/>
                <w:color w:val="auto"/>
              </w:rPr>
            </w:pPr>
            <w:r>
              <w:rPr>
                <w:rFonts w:ascii="Arial" w:cs="Arial" w:eastAsia="Arial" w:hAnsi="Arial"/>
                <w:sz w:val="16"/>
                <w:szCs w:val="16"/>
                <w:color w:val="auto"/>
              </w:rPr>
              <w:t>4.35%</w:t>
            </w:r>
          </w:p>
        </w:tc>
        <w:tc>
          <w:tcPr>
            <w:tcW w:w="4660" w:type="dxa"/>
            <w:vAlign w:val="bottom"/>
          </w:tcPr>
          <w:p>
            <w:pPr>
              <w:ind w:left="240"/>
              <w:spacing w:after="0" w:line="175" w:lineRule="exact"/>
              <w:rPr>
                <w:sz w:val="20"/>
                <w:szCs w:val="20"/>
                <w:color w:val="auto"/>
              </w:rPr>
            </w:pPr>
            <w:r>
              <w:rPr>
                <w:rFonts w:ascii="Arial" w:cs="Arial" w:eastAsia="Arial" w:hAnsi="Arial"/>
                <w:sz w:val="16"/>
                <w:szCs w:val="16"/>
                <w:color w:val="auto"/>
              </w:rPr>
              <w:t>medium-term notes due February 2036</w:t>
            </w:r>
          </w:p>
        </w:tc>
        <w:tc>
          <w:tcPr>
            <w:tcW w:w="2360" w:type="dxa"/>
            <w:vAlign w:val="bottom"/>
          </w:tcPr>
          <w:p>
            <w:pPr>
              <w:jc w:val="right"/>
              <w:spacing w:after="0" w:line="175" w:lineRule="exact"/>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2040" w:type="dxa"/>
            <w:vAlign w:val="bottom"/>
          </w:tcPr>
          <w:p>
            <w:pPr>
              <w:ind w:left="380"/>
              <w:spacing w:after="0" w:line="175" w:lineRule="exact"/>
              <w:rPr>
                <w:sz w:val="20"/>
                <w:szCs w:val="20"/>
                <w:color w:val="auto"/>
              </w:rPr>
            </w:pPr>
            <w:r>
              <w:rPr>
                <w:rFonts w:ascii="Arial" w:cs="Arial" w:eastAsia="Arial" w:hAnsi="Arial"/>
                <w:sz w:val="16"/>
                <w:szCs w:val="16"/>
                <w:color w:val="auto"/>
              </w:rPr>
              <w:t>February 2026</w:t>
            </w:r>
          </w:p>
        </w:tc>
        <w:tc>
          <w:tcPr>
            <w:tcW w:w="860" w:type="dxa"/>
            <w:vAlign w:val="bottom"/>
          </w:tcPr>
          <w:p>
            <w:pPr>
              <w:jc w:val="right"/>
              <w:ind w:right="179"/>
              <w:spacing w:after="0" w:line="175" w:lineRule="exact"/>
              <w:rPr>
                <w:sz w:val="20"/>
                <w:szCs w:val="20"/>
                <w:color w:val="auto"/>
              </w:rPr>
            </w:pPr>
            <w:r>
              <w:rPr>
                <w:rFonts w:ascii="Arial" w:cs="Arial" w:eastAsia="Arial" w:hAnsi="Arial"/>
                <w:sz w:val="16"/>
                <w:szCs w:val="16"/>
                <w:color w:val="auto"/>
              </w:rPr>
              <w:t>5.10%</w:t>
            </w:r>
          </w:p>
        </w:tc>
        <w:tc>
          <w:tcPr>
            <w:tcW w:w="4660" w:type="dxa"/>
            <w:vAlign w:val="bottom"/>
          </w:tcPr>
          <w:p>
            <w:pPr>
              <w:ind w:left="240"/>
              <w:spacing w:after="0" w:line="175" w:lineRule="exact"/>
              <w:rPr>
                <w:sz w:val="20"/>
                <w:szCs w:val="20"/>
                <w:color w:val="auto"/>
              </w:rPr>
            </w:pPr>
            <w:r>
              <w:rPr>
                <w:rFonts w:ascii="Arial" w:cs="Arial" w:eastAsia="Arial" w:hAnsi="Arial"/>
                <w:sz w:val="16"/>
                <w:szCs w:val="16"/>
                <w:color w:val="auto"/>
              </w:rPr>
              <w:t>medium-term notes due February 2056</w:t>
            </w:r>
          </w:p>
        </w:tc>
        <w:tc>
          <w:tcPr>
            <w:tcW w:w="2360" w:type="dxa"/>
            <w:vAlign w:val="bottom"/>
          </w:tcPr>
          <w:p>
            <w:pPr>
              <w:jc w:val="right"/>
              <w:spacing w:after="0" w:line="175" w:lineRule="exact"/>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2040" w:type="dxa"/>
            <w:vAlign w:val="bottom"/>
          </w:tcPr>
          <w:p>
            <w:pPr>
              <w:ind w:left="380"/>
              <w:spacing w:after="0" w:line="175" w:lineRule="exact"/>
              <w:rPr>
                <w:sz w:val="20"/>
                <w:szCs w:val="20"/>
                <w:color w:val="auto"/>
              </w:rPr>
            </w:pPr>
            <w:r>
              <w:rPr>
                <w:rFonts w:ascii="Arial" w:cs="Arial" w:eastAsia="Arial" w:hAnsi="Arial"/>
                <w:sz w:val="16"/>
                <w:szCs w:val="16"/>
                <w:color w:val="auto"/>
              </w:rPr>
              <w:t>March 2026</w:t>
            </w:r>
          </w:p>
        </w:tc>
        <w:tc>
          <w:tcPr>
            <w:tcW w:w="860" w:type="dxa"/>
            <w:vAlign w:val="bottom"/>
          </w:tcPr>
          <w:p>
            <w:pPr>
              <w:jc w:val="right"/>
              <w:ind w:right="179"/>
              <w:spacing w:after="0" w:line="175" w:lineRule="exact"/>
              <w:rPr>
                <w:sz w:val="20"/>
                <w:szCs w:val="20"/>
                <w:color w:val="auto"/>
              </w:rPr>
            </w:pPr>
            <w:r>
              <w:rPr>
                <w:rFonts w:ascii="Arial" w:cs="Arial" w:eastAsia="Arial" w:hAnsi="Arial"/>
                <w:sz w:val="16"/>
                <w:szCs w:val="16"/>
                <w:color w:val="auto"/>
              </w:rPr>
              <w:t>4.85%</w:t>
            </w:r>
          </w:p>
        </w:tc>
        <w:tc>
          <w:tcPr>
            <w:tcW w:w="4660" w:type="dxa"/>
            <w:vAlign w:val="bottom"/>
          </w:tcPr>
          <w:p>
            <w:pPr>
              <w:ind w:left="240"/>
              <w:spacing w:after="0" w:line="175" w:lineRule="exact"/>
              <w:rPr>
                <w:sz w:val="20"/>
                <w:szCs w:val="20"/>
                <w:color w:val="auto"/>
              </w:rPr>
            </w:pPr>
            <w:r>
              <w:rPr>
                <w:rFonts w:ascii="Arial" w:cs="Arial" w:eastAsia="Arial" w:hAnsi="Arial"/>
                <w:sz w:val="16"/>
                <w:szCs w:val="16"/>
                <w:color w:val="auto"/>
              </w:rPr>
              <w:t>senior notes due March 2031</w:t>
            </w:r>
          </w:p>
        </w:tc>
        <w:tc>
          <w:tcPr>
            <w:tcW w:w="2360" w:type="dxa"/>
            <w:vAlign w:val="bottom"/>
          </w:tcPr>
          <w:p>
            <w:pPr>
              <w:jc w:val="right"/>
              <w:spacing w:after="0" w:line="175" w:lineRule="exact"/>
              <w:rPr>
                <w:sz w:val="20"/>
                <w:szCs w:val="20"/>
                <w:color w:val="auto"/>
              </w:rPr>
            </w:pPr>
            <w:r>
              <w:rPr>
                <w:rFonts w:ascii="Arial" w:cs="Arial" w:eastAsia="Arial" w:hAnsi="Arial"/>
                <w:sz w:val="16"/>
                <w:szCs w:val="16"/>
                <w:color w:val="auto"/>
              </w:rPr>
              <w:t>US$1,000</w:t>
            </w:r>
          </w:p>
        </w:tc>
        <w:tc>
          <w:tcPr>
            <w:tcW w:w="0" w:type="dxa"/>
            <w:vAlign w:val="bottom"/>
          </w:tcPr>
          <w:p>
            <w:pPr>
              <w:spacing w:after="0"/>
              <w:rPr>
                <w:sz w:val="1"/>
                <w:szCs w:val="1"/>
                <w:color w:val="auto"/>
              </w:rPr>
            </w:pPr>
          </w:p>
        </w:tc>
      </w:tr>
      <w:tr>
        <w:trPr>
          <w:trHeight w:val="203"/>
        </w:trPr>
        <w:tc>
          <w:tcPr>
            <w:tcW w:w="13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March 2026</w:t>
            </w: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5.45%</w:t>
            </w:r>
          </w:p>
        </w:tc>
        <w:tc>
          <w:tcPr>
            <w:tcW w:w="46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senior notes due March 2036</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US$1,000</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REPAYMENTS</w:t>
      </w:r>
    </w:p>
    <w:p>
      <w:pPr>
        <w:spacing w:after="0" w:line="238" w:lineRule="auto"/>
        <w:rPr>
          <w:sz w:val="20"/>
          <w:szCs w:val="20"/>
          <w:color w:val="auto"/>
        </w:rPr>
      </w:pPr>
      <w:r>
        <w:rPr>
          <w:rFonts w:ascii="Arial" w:cs="Arial" w:eastAsia="Arial" w:hAnsi="Arial"/>
          <w:sz w:val="18"/>
          <w:szCs w:val="18"/>
          <w:color w:val="auto"/>
        </w:rPr>
        <w:t>During the three months ended March 31, 2026, we completed the following long-term debt repayment totaling US$50 million:</w:t>
      </w:r>
    </w:p>
    <w:tbl>
      <w:tblPr>
        <w:tblLayout w:type="fixed"/>
        <w:tblInd w:w="0" w:type="dxa"/>
        <w:tblCellMar>
          <w:top w:w="0" w:type="dxa"/>
          <w:left w:w="0" w:type="dxa"/>
          <w:bottom w:w="0" w:type="dxa"/>
          <w:right w:w="0" w:type="dxa"/>
        </w:tblCellMar>
      </w:tblPr>
      <w:tr>
        <w:trPr>
          <w:trHeight w:val="160"/>
        </w:trPr>
        <w:tc>
          <w:tcPr>
            <w:tcW w:w="1200" w:type="dxa"/>
            <w:vAlign w:val="bottom"/>
            <w:vMerge w:val="restart"/>
          </w:tcPr>
          <w:p>
            <w:pPr>
              <w:spacing w:after="0"/>
              <w:rPr>
                <w:sz w:val="20"/>
                <w:szCs w:val="20"/>
                <w:color w:val="auto"/>
              </w:rPr>
            </w:pPr>
            <w:r>
              <w:rPr>
                <w:rFonts w:ascii="Arial" w:cs="Arial" w:eastAsia="Arial" w:hAnsi="Arial"/>
                <w:sz w:val="16"/>
                <w:szCs w:val="16"/>
                <w:color w:val="auto"/>
              </w:rPr>
              <w:t>Company</w:t>
            </w:r>
          </w:p>
        </w:tc>
        <w:tc>
          <w:tcPr>
            <w:tcW w:w="2160" w:type="dxa"/>
            <w:vAlign w:val="bottom"/>
            <w:vMerge w:val="restart"/>
          </w:tcPr>
          <w:p>
            <w:pPr>
              <w:ind w:left="500"/>
              <w:spacing w:after="0"/>
              <w:rPr>
                <w:sz w:val="20"/>
                <w:szCs w:val="20"/>
                <w:color w:val="auto"/>
              </w:rPr>
            </w:pPr>
            <w:r>
              <w:rPr>
                <w:rFonts w:ascii="Arial" w:cs="Arial" w:eastAsia="Arial" w:hAnsi="Arial"/>
                <w:sz w:val="16"/>
                <w:szCs w:val="16"/>
                <w:color w:val="auto"/>
              </w:rPr>
              <w:t>Repayment Date</w:t>
            </w:r>
          </w:p>
        </w:tc>
        <w:tc>
          <w:tcPr>
            <w:tcW w:w="90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320" w:type="dxa"/>
            <w:vAlign w:val="bottom"/>
          </w:tcPr>
          <w:p>
            <w:pPr>
              <w:jc w:val="right"/>
              <w:spacing w:after="0" w:line="160" w:lineRule="exact"/>
              <w:rPr>
                <w:sz w:val="20"/>
                <w:szCs w:val="20"/>
                <w:color w:val="auto"/>
              </w:rPr>
            </w:pPr>
            <w:r>
              <w:rPr>
                <w:rFonts w:ascii="Arial" w:cs="Arial" w:eastAsia="Arial" w:hAnsi="Arial"/>
                <w:sz w:val="16"/>
                <w:szCs w:val="16"/>
                <w:color w:val="auto"/>
              </w:rPr>
              <w:t>Principal</w:t>
            </w:r>
          </w:p>
        </w:tc>
        <w:tc>
          <w:tcPr>
            <w:tcW w:w="0" w:type="dxa"/>
            <w:vAlign w:val="bottom"/>
          </w:tcPr>
          <w:p>
            <w:pPr>
              <w:spacing w:after="0"/>
              <w:rPr>
                <w:sz w:val="1"/>
                <w:szCs w:val="1"/>
                <w:color w:val="auto"/>
              </w:rPr>
            </w:pPr>
          </w:p>
        </w:tc>
      </w:tr>
      <w:tr>
        <w:trPr>
          <w:trHeight w:val="190"/>
        </w:trPr>
        <w:tc>
          <w:tcPr>
            <w:tcW w:w="1200" w:type="dxa"/>
            <w:vAlign w:val="bottom"/>
            <w:tcBorders>
              <w:bottom w:val="single" w:sz="8" w:color="auto"/>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w:t>
            </w:r>
          </w:p>
        </w:tc>
        <w:tc>
          <w:tcPr>
            <w:tcW w:w="0" w:type="dxa"/>
            <w:vAlign w:val="bottom"/>
          </w:tcPr>
          <w:p>
            <w:pPr>
              <w:spacing w:after="0"/>
              <w:rPr>
                <w:sz w:val="1"/>
                <w:szCs w:val="1"/>
                <w:color w:val="auto"/>
              </w:rPr>
            </w:pPr>
          </w:p>
        </w:tc>
      </w:tr>
      <w:tr>
        <w:trPr>
          <w:trHeight w:val="114"/>
        </w:trPr>
        <w:tc>
          <w:tcPr>
            <w:tcW w:w="3360" w:type="dxa"/>
            <w:vAlign w:val="bottom"/>
            <w:gridSpan w:val="2"/>
          </w:tcPr>
          <w:p>
            <w:pPr>
              <w:spacing w:after="0" w:line="114" w:lineRule="exact"/>
              <w:rPr>
                <w:sz w:val="20"/>
                <w:szCs w:val="20"/>
                <w:color w:val="auto"/>
              </w:rPr>
            </w:pPr>
            <w:r>
              <w:rPr>
                <w:rFonts w:ascii="Arial" w:cs="Arial" w:eastAsia="Arial" w:hAnsi="Arial"/>
                <w:sz w:val="13"/>
                <w:szCs w:val="13"/>
                <w:i w:val="1"/>
                <w:iCs w:val="1"/>
                <w:color w:val="auto"/>
              </w:rPr>
              <w:t>(millions of Canadian dollars, unless otherwise stated)</w:t>
            </w:r>
          </w:p>
        </w:tc>
        <w:tc>
          <w:tcPr>
            <w:tcW w:w="900" w:type="dxa"/>
            <w:vAlign w:val="bottom"/>
          </w:tcPr>
          <w:p>
            <w:pPr>
              <w:spacing w:after="0"/>
              <w:rPr>
                <w:sz w:val="9"/>
                <w:szCs w:val="9"/>
                <w:color w:val="auto"/>
              </w:rPr>
            </w:pPr>
          </w:p>
        </w:tc>
        <w:tc>
          <w:tcPr>
            <w:tcW w:w="36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4260" w:type="dxa"/>
            <w:vAlign w:val="bottom"/>
            <w:gridSpan w:val="3"/>
          </w:tcPr>
          <w:p>
            <w:pPr>
              <w:spacing w:after="0" w:line="175" w:lineRule="exact"/>
              <w:rPr>
                <w:sz w:val="20"/>
                <w:szCs w:val="20"/>
                <w:color w:val="auto"/>
              </w:rPr>
            </w:pPr>
            <w:r>
              <w:rPr>
                <w:rFonts w:ascii="Arial" w:cs="Arial" w:eastAsia="Arial" w:hAnsi="Arial"/>
                <w:sz w:val="16"/>
                <w:szCs w:val="16"/>
                <w:color w:val="auto"/>
              </w:rPr>
              <w:t>Public Service Company of North Carolina, Incorporated</w:t>
            </w:r>
          </w:p>
        </w:tc>
        <w:tc>
          <w:tcPr>
            <w:tcW w:w="36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January 2026</w:t>
            </w: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6.99%</w:t>
            </w:r>
          </w:p>
        </w:tc>
        <w:tc>
          <w:tcPr>
            <w:tcW w:w="36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debentures</w:t>
            </w: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US$50</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TERM NOTES</w:t>
      </w:r>
    </w:p>
    <w:p>
      <w:pPr>
        <w:spacing w:after="0" w:line="14"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As at March 31, 2026 and December 31, 2025, our fixed-to-floating rate and fixed-to-fixed rate subordinated term notes had a principal value of $16.2 billion and $16.0 billion,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ADJUSTMENT</w:t>
      </w:r>
    </w:p>
    <w:p>
      <w:pPr>
        <w:spacing w:after="0" w:line="14" w:lineRule="exact"/>
        <w:rPr>
          <w:sz w:val="20"/>
          <w:szCs w:val="20"/>
          <w:color w:val="auto"/>
        </w:rPr>
      </w:pPr>
    </w:p>
    <w:p>
      <w:pPr>
        <w:ind w:left="60" w:hanging="49"/>
        <w:spacing w:after="0" w:line="266" w:lineRule="auto"/>
        <w:rPr>
          <w:sz w:val="20"/>
          <w:szCs w:val="20"/>
          <w:color w:val="auto"/>
        </w:rPr>
      </w:pPr>
      <w:r>
        <w:rPr>
          <w:rFonts w:ascii="Arial" w:cs="Arial" w:eastAsia="Arial" w:hAnsi="Arial"/>
          <w:sz w:val="18"/>
          <w:szCs w:val="18"/>
          <w:color w:val="auto"/>
        </w:rPr>
        <w:t>As at March 31, 2026 and December 31, 2025, the fair value adjustments to decrease total debt assumed in historical acquisitions were $440 million and $430 million,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7"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Our credit facility agreements and term debt indentures include standard events of default and covenant provisions whereby accelerated repayment and/or termination of the agreements may result if we were to default on payment or violate certain covenants. As at March 31, 2026, we were in compliance with all such debt covenant provisions.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Arial" w:cs="Arial" w:eastAsia="Arial" w:hAnsi="Arial"/>
          <w:sz w:val="23"/>
          <w:szCs w:val="23"/>
          <w:b w:val="1"/>
          <w:bCs w:val="1"/>
          <w:color w:val="auto"/>
        </w:rPr>
        <w:t>7. COMPONENTS OF ACCUMULATED OTHER COMPREHENSIVE INCOME</w:t>
      </w:r>
    </w:p>
    <w:p>
      <w:pPr>
        <w:spacing w:after="0" w:line="22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Changes in Accumulated other comprehensive income (AOCI) attributable to our common shareholders for the three months ended March 31, 2026 and 2025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rPr>
              <w:t>Cash</w:t>
            </w:r>
          </w:p>
        </w:tc>
        <w:tc>
          <w:tcPr>
            <w:tcW w:w="1260" w:type="dxa"/>
            <w:vAlign w:val="bottom"/>
            <w:vMerge w:val="restart"/>
          </w:tcPr>
          <w:p>
            <w:pPr>
              <w:jc w:val="right"/>
              <w:ind w:right="168"/>
              <w:spacing w:after="0"/>
              <w:rPr>
                <w:sz w:val="20"/>
                <w:szCs w:val="20"/>
                <w:color w:val="auto"/>
              </w:rPr>
            </w:pPr>
            <w:r>
              <w:rPr>
                <w:rFonts w:ascii="Arial" w:cs="Arial" w:eastAsia="Arial" w:hAnsi="Arial"/>
                <w:sz w:val="14"/>
                <w:szCs w:val="14"/>
                <w:color w:val="auto"/>
              </w:rPr>
              <w:t>Net</w:t>
            </w: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color w:val="auto"/>
              </w:rPr>
              <w:t>Cumulative</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Equity</w:t>
            </w:r>
          </w:p>
        </w:tc>
        <w:tc>
          <w:tcPr>
            <w:tcW w:w="1440" w:type="dxa"/>
            <w:vAlign w:val="bottom"/>
          </w:tcPr>
          <w:p>
            <w:pPr>
              <w:jc w:val="right"/>
              <w:ind w:right="428"/>
              <w:spacing w:after="0"/>
              <w:rPr>
                <w:sz w:val="20"/>
                <w:szCs w:val="20"/>
                <w:color w:val="auto"/>
              </w:rPr>
            </w:pPr>
            <w:r>
              <w:rPr>
                <w:rFonts w:ascii="Arial" w:cs="Arial" w:eastAsia="Arial" w:hAnsi="Arial"/>
                <w:sz w:val="14"/>
                <w:szCs w:val="14"/>
                <w:color w:val="auto"/>
              </w:rPr>
              <w:t>Pension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2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Investees</w:t>
            </w:r>
          </w:p>
        </w:tc>
        <w:tc>
          <w:tcPr>
            <w:tcW w:w="1440" w:type="dxa"/>
            <w:vAlign w:val="bottom"/>
          </w:tcPr>
          <w:p>
            <w:pPr>
              <w:jc w:val="right"/>
              <w:ind w:right="468"/>
              <w:spacing w:after="0" w:line="149" w:lineRule="exact"/>
              <w:rPr>
                <w:sz w:val="20"/>
                <w:szCs w:val="20"/>
                <w:color w:val="auto"/>
              </w:rPr>
            </w:pPr>
            <w:r>
              <w:rPr>
                <w:rFonts w:ascii="Arial" w:cs="Arial" w:eastAsia="Arial" w:hAnsi="Arial"/>
                <w:sz w:val="14"/>
                <w:szCs w:val="14"/>
                <w:color w:val="auto"/>
              </w:rPr>
              <w:t>and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Flow</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Investment</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Translation</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and Other</w:t>
            </w:r>
          </w:p>
        </w:tc>
        <w:tc>
          <w:tcPr>
            <w:tcW w:w="1440" w:type="dxa"/>
            <w:vAlign w:val="bottom"/>
          </w:tcPr>
          <w:p>
            <w:pPr>
              <w:jc w:val="right"/>
              <w:ind w:right="428"/>
              <w:spacing w:after="0"/>
              <w:rPr>
                <w:sz w:val="20"/>
                <w:szCs w:val="20"/>
                <w:color w:val="auto"/>
              </w:rPr>
            </w:pPr>
            <w:r>
              <w:rPr>
                <w:rFonts w:ascii="Arial" w:cs="Arial" w:eastAsia="Arial" w:hAnsi="Arial"/>
                <w:sz w:val="14"/>
                <w:szCs w:val="14"/>
                <w:color w:val="auto"/>
              </w:rPr>
              <w:t>OPEB</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4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auto"/>
              </w:rPr>
              <w:t>Hedges</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Hedges</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Adjustment</w:t>
            </w: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Investments</w:t>
            </w:r>
          </w:p>
        </w:tc>
        <w:tc>
          <w:tcPr>
            <w:tcW w:w="14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Adjustment</w:t>
            </w: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line="119" w:lineRule="exact"/>
              <w:rPr>
                <w:sz w:val="20"/>
                <w:szCs w:val="20"/>
                <w:color w:val="auto"/>
              </w:rPr>
            </w:pPr>
            <w:r>
              <w:rPr>
                <w:rFonts w:ascii="Arial" w:cs="Arial" w:eastAsia="Arial" w:hAnsi="Arial"/>
                <w:sz w:val="13"/>
                <w:szCs w:val="13"/>
                <w:i w:val="1"/>
                <w:iCs w:val="1"/>
                <w:color w:val="auto"/>
              </w:rPr>
              <w:t>(millions of Canadian dollars)</w:t>
            </w:r>
          </w:p>
        </w:tc>
        <w:tc>
          <w:tcPr>
            <w:tcW w:w="100" w:type="dxa"/>
            <w:vAlign w:val="bottom"/>
            <w:shd w:val="clear" w:color="auto" w:fill="DDDDDD"/>
          </w:tcPr>
          <w:p>
            <w:pPr>
              <w:spacing w:after="0"/>
              <w:rPr>
                <w:sz w:val="10"/>
                <w:szCs w:val="10"/>
                <w:color w:val="auto"/>
              </w:rPr>
            </w:pPr>
          </w:p>
        </w:tc>
        <w:tc>
          <w:tcPr>
            <w:tcW w:w="720" w:type="dxa"/>
            <w:vAlign w:val="bottom"/>
            <w:shd w:val="clear" w:color="auto" w:fill="DDDDDD"/>
          </w:tcPr>
          <w:p>
            <w:pPr>
              <w:spacing w:after="0"/>
              <w:rPr>
                <w:sz w:val="10"/>
                <w:szCs w:val="10"/>
                <w:color w:val="auto"/>
              </w:rPr>
            </w:pPr>
          </w:p>
        </w:tc>
        <w:tc>
          <w:tcPr>
            <w:tcW w:w="380" w:type="dxa"/>
            <w:vAlign w:val="bottom"/>
            <w:shd w:val="clear" w:color="auto" w:fill="DDDDDD"/>
          </w:tcPr>
          <w:p>
            <w:pPr>
              <w:spacing w:after="0"/>
              <w:rPr>
                <w:sz w:val="10"/>
                <w:szCs w:val="10"/>
                <w:color w:val="auto"/>
              </w:rPr>
            </w:pPr>
          </w:p>
        </w:tc>
        <w:tc>
          <w:tcPr>
            <w:tcW w:w="1260" w:type="dxa"/>
            <w:vAlign w:val="bottom"/>
            <w:shd w:val="clear" w:color="auto" w:fill="DDDDDD"/>
          </w:tcPr>
          <w:p>
            <w:pPr>
              <w:spacing w:after="0"/>
              <w:rPr>
                <w:sz w:val="10"/>
                <w:szCs w:val="10"/>
                <w:color w:val="auto"/>
              </w:rPr>
            </w:pPr>
          </w:p>
        </w:tc>
        <w:tc>
          <w:tcPr>
            <w:tcW w:w="1120" w:type="dxa"/>
            <w:vAlign w:val="bottom"/>
            <w:shd w:val="clear" w:color="auto" w:fill="DDDDDD"/>
          </w:tcPr>
          <w:p>
            <w:pPr>
              <w:spacing w:after="0"/>
              <w:rPr>
                <w:sz w:val="10"/>
                <w:szCs w:val="10"/>
                <w:color w:val="auto"/>
              </w:rPr>
            </w:pPr>
          </w:p>
        </w:tc>
        <w:tc>
          <w:tcPr>
            <w:tcW w:w="1280" w:type="dxa"/>
            <w:vAlign w:val="bottom"/>
            <w:shd w:val="clear" w:color="auto" w:fill="DDDDDD"/>
          </w:tcPr>
          <w:p>
            <w:pPr>
              <w:spacing w:after="0"/>
              <w:rPr>
                <w:sz w:val="10"/>
                <w:szCs w:val="10"/>
                <w:color w:val="auto"/>
              </w:rPr>
            </w:pPr>
          </w:p>
        </w:tc>
        <w:tc>
          <w:tcPr>
            <w:tcW w:w="1440" w:type="dxa"/>
            <w:vAlign w:val="bottom"/>
            <w:shd w:val="clear" w:color="auto" w:fill="DDDDDD"/>
          </w:tcPr>
          <w:p>
            <w:pPr>
              <w:spacing w:after="0"/>
              <w:rPr>
                <w:sz w:val="10"/>
                <w:szCs w:val="10"/>
                <w:color w:val="auto"/>
              </w:rPr>
            </w:pPr>
          </w:p>
        </w:tc>
        <w:tc>
          <w:tcPr>
            <w:tcW w:w="920" w:type="dxa"/>
            <w:vAlign w:val="bottom"/>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Balance as at January 1, 2026</w:t>
            </w:r>
          </w:p>
        </w:tc>
        <w:tc>
          <w:tcPr>
            <w:tcW w:w="100" w:type="dxa"/>
            <w:vAlign w:val="bottom"/>
            <w:shd w:val="clear" w:color="auto" w:fill="DDDDDD"/>
          </w:tcPr>
          <w:p>
            <w:pPr>
              <w:spacing w:after="0"/>
              <w:rPr>
                <w:sz w:val="12"/>
                <w:szCs w:val="12"/>
                <w:color w:val="auto"/>
              </w:rPr>
            </w:pPr>
          </w:p>
        </w:tc>
        <w:tc>
          <w:tcPr>
            <w:tcW w:w="72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462</w:t>
            </w:r>
          </w:p>
        </w:tc>
        <w:tc>
          <w:tcPr>
            <w:tcW w:w="380" w:type="dxa"/>
            <w:vAlign w:val="bottom"/>
            <w:shd w:val="clear" w:color="auto" w:fill="DDDDDD"/>
          </w:tcPr>
          <w:p>
            <w:pPr>
              <w:spacing w:after="0"/>
              <w:rPr>
                <w:sz w:val="12"/>
                <w:szCs w:val="12"/>
                <w:color w:val="auto"/>
              </w:rPr>
            </w:pPr>
          </w:p>
        </w:tc>
        <w:tc>
          <w:tcPr>
            <w:tcW w:w="1260" w:type="dxa"/>
            <w:vAlign w:val="bottom"/>
            <w:shd w:val="clear" w:color="auto" w:fill="DDDDDD"/>
          </w:tcPr>
          <w:p>
            <w:pPr>
              <w:jc w:val="right"/>
              <w:ind w:right="108"/>
              <w:spacing w:after="0" w:line="149" w:lineRule="exact"/>
              <w:rPr>
                <w:sz w:val="20"/>
                <w:szCs w:val="20"/>
                <w:color w:val="auto"/>
              </w:rPr>
            </w:pPr>
            <w:r>
              <w:rPr>
                <w:rFonts w:ascii="Arial" w:cs="Arial" w:eastAsia="Arial" w:hAnsi="Arial"/>
                <w:sz w:val="14"/>
                <w:szCs w:val="14"/>
                <w:b w:val="1"/>
                <w:bCs w:val="1"/>
                <w:color w:val="auto"/>
              </w:rPr>
              <w:t>(1,614)</w:t>
            </w:r>
          </w:p>
        </w:tc>
        <w:tc>
          <w:tcPr>
            <w:tcW w:w="1120" w:type="dxa"/>
            <w:vAlign w:val="bottom"/>
            <w:shd w:val="clear" w:color="auto" w:fill="DDDDDD"/>
          </w:tcPr>
          <w:p>
            <w:pPr>
              <w:jc w:val="right"/>
              <w:ind w:right="168"/>
              <w:spacing w:after="0" w:line="149" w:lineRule="exact"/>
              <w:rPr>
                <w:sz w:val="20"/>
                <w:szCs w:val="20"/>
                <w:color w:val="auto"/>
              </w:rPr>
            </w:pPr>
            <w:r>
              <w:rPr>
                <w:rFonts w:ascii="Arial" w:cs="Arial" w:eastAsia="Arial" w:hAnsi="Arial"/>
                <w:sz w:val="14"/>
                <w:szCs w:val="14"/>
                <w:b w:val="1"/>
                <w:bCs w:val="1"/>
                <w:color w:val="auto"/>
              </w:rPr>
              <w:t>5,372</w:t>
            </w:r>
          </w:p>
        </w:tc>
        <w:tc>
          <w:tcPr>
            <w:tcW w:w="1280" w:type="dxa"/>
            <w:vAlign w:val="bottom"/>
            <w:shd w:val="clear" w:color="auto" w:fill="DDDDDD"/>
          </w:tcPr>
          <w:p>
            <w:pPr>
              <w:jc w:val="right"/>
              <w:ind w:right="208"/>
              <w:spacing w:after="0" w:line="149" w:lineRule="exact"/>
              <w:rPr>
                <w:sz w:val="20"/>
                <w:szCs w:val="20"/>
                <w:color w:val="auto"/>
              </w:rPr>
            </w:pPr>
            <w:r>
              <w:rPr>
                <w:rFonts w:ascii="Arial" w:cs="Arial" w:eastAsia="Arial" w:hAnsi="Arial"/>
                <w:sz w:val="14"/>
                <w:szCs w:val="14"/>
                <w:b w:val="1"/>
                <w:bCs w:val="1"/>
                <w:color w:val="auto"/>
              </w:rPr>
              <w:t>25</w:t>
            </w:r>
          </w:p>
        </w:tc>
        <w:tc>
          <w:tcPr>
            <w:tcW w:w="1440" w:type="dxa"/>
            <w:vAlign w:val="bottom"/>
            <w:shd w:val="clear" w:color="auto" w:fill="DDDDDD"/>
          </w:tcPr>
          <w:p>
            <w:pPr>
              <w:jc w:val="right"/>
              <w:ind w:right="428"/>
              <w:spacing w:after="0" w:line="149" w:lineRule="exact"/>
              <w:rPr>
                <w:sz w:val="20"/>
                <w:szCs w:val="20"/>
                <w:color w:val="auto"/>
              </w:rPr>
            </w:pPr>
            <w:r>
              <w:rPr>
                <w:rFonts w:ascii="Arial" w:cs="Arial" w:eastAsia="Arial" w:hAnsi="Arial"/>
                <w:sz w:val="14"/>
                <w:szCs w:val="14"/>
                <w:b w:val="1"/>
                <w:bCs w:val="1"/>
                <w:color w:val="auto"/>
              </w:rPr>
              <w:t>436</w:t>
            </w:r>
          </w:p>
        </w:tc>
        <w:tc>
          <w:tcPr>
            <w:tcW w:w="920" w:type="dxa"/>
            <w:vAlign w:val="bottom"/>
            <w:shd w:val="clear" w:color="auto" w:fill="DDDDDD"/>
          </w:tcPr>
          <w:p>
            <w:pPr>
              <w:jc w:val="right"/>
              <w:ind w:right="68"/>
              <w:spacing w:after="0" w:line="149" w:lineRule="exact"/>
              <w:rPr>
                <w:sz w:val="20"/>
                <w:szCs w:val="20"/>
                <w:color w:val="auto"/>
              </w:rPr>
            </w:pPr>
            <w:r>
              <w:rPr>
                <w:rFonts w:ascii="Arial" w:cs="Arial" w:eastAsia="Arial" w:hAnsi="Arial"/>
                <w:sz w:val="14"/>
                <w:szCs w:val="14"/>
                <w:b w:val="1"/>
                <w:bCs w:val="1"/>
                <w:color w:val="auto"/>
              </w:rPr>
              <w:t>4,681</w:t>
            </w:r>
          </w:p>
        </w:tc>
        <w:tc>
          <w:tcPr>
            <w:tcW w:w="0" w:type="dxa"/>
            <w:vAlign w:val="bottom"/>
          </w:tcPr>
          <w:p>
            <w:pPr>
              <w:spacing w:after="0"/>
              <w:rPr>
                <w:sz w:val="1"/>
                <w:szCs w:val="1"/>
                <w:color w:val="auto"/>
              </w:rPr>
            </w:pPr>
          </w:p>
        </w:tc>
      </w:tr>
      <w:tr>
        <w:trPr>
          <w:trHeight w:val="148"/>
        </w:trPr>
        <w:tc>
          <w:tcPr>
            <w:tcW w:w="4020" w:type="dxa"/>
            <w:vAlign w:val="bottom"/>
          </w:tcPr>
          <w:p>
            <w:pPr>
              <w:spacing w:after="0" w:line="149" w:lineRule="exact"/>
              <w:rPr>
                <w:sz w:val="20"/>
                <w:szCs w:val="20"/>
                <w:color w:val="auto"/>
              </w:rPr>
            </w:pPr>
            <w:r>
              <w:rPr>
                <w:rFonts w:ascii="Arial" w:cs="Arial" w:eastAsia="Arial" w:hAnsi="Arial"/>
                <w:sz w:val="14"/>
                <w:szCs w:val="14"/>
                <w:color w:val="auto"/>
              </w:rPr>
              <w:t>Other comprehensive income/(loss) retained in AOCI</w:t>
            </w:r>
          </w:p>
        </w:tc>
        <w:tc>
          <w:tcPr>
            <w:tcW w:w="100" w:type="dxa"/>
            <w:vAlign w:val="bottom"/>
            <w:shd w:val="clear" w:color="auto" w:fill="DDDDDD"/>
          </w:tcPr>
          <w:p>
            <w:pPr>
              <w:spacing w:after="0"/>
              <w:rPr>
                <w:sz w:val="12"/>
                <w:szCs w:val="12"/>
                <w:color w:val="auto"/>
              </w:rPr>
            </w:pPr>
          </w:p>
        </w:tc>
        <w:tc>
          <w:tcPr>
            <w:tcW w:w="72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380" w:type="dxa"/>
            <w:vAlign w:val="bottom"/>
            <w:shd w:val="clear" w:color="auto" w:fill="DDDDDD"/>
          </w:tcPr>
          <w:p>
            <w:pPr>
              <w:spacing w:after="0"/>
              <w:rPr>
                <w:sz w:val="12"/>
                <w:szCs w:val="12"/>
                <w:color w:val="auto"/>
              </w:rPr>
            </w:pPr>
          </w:p>
        </w:tc>
        <w:tc>
          <w:tcPr>
            <w:tcW w:w="1260" w:type="dxa"/>
            <w:vAlign w:val="bottom"/>
            <w:shd w:val="clear" w:color="auto" w:fill="DDDDDD"/>
          </w:tcPr>
          <w:p>
            <w:pPr>
              <w:jc w:val="right"/>
              <w:ind w:right="108"/>
              <w:spacing w:after="0" w:line="149" w:lineRule="exact"/>
              <w:rPr>
                <w:sz w:val="20"/>
                <w:szCs w:val="20"/>
                <w:color w:val="auto"/>
              </w:rPr>
            </w:pPr>
            <w:r>
              <w:rPr>
                <w:rFonts w:ascii="Arial" w:cs="Arial" w:eastAsia="Arial" w:hAnsi="Arial"/>
                <w:sz w:val="14"/>
                <w:szCs w:val="14"/>
                <w:b w:val="1"/>
                <w:bCs w:val="1"/>
                <w:color w:val="auto"/>
              </w:rPr>
              <w:t>(248)</w:t>
            </w:r>
          </w:p>
        </w:tc>
        <w:tc>
          <w:tcPr>
            <w:tcW w:w="1120" w:type="dxa"/>
            <w:vAlign w:val="bottom"/>
            <w:shd w:val="clear" w:color="auto" w:fill="DDDDDD"/>
          </w:tcPr>
          <w:p>
            <w:pPr>
              <w:jc w:val="right"/>
              <w:ind w:right="168"/>
              <w:spacing w:after="0" w:line="149" w:lineRule="exact"/>
              <w:rPr>
                <w:sz w:val="20"/>
                <w:szCs w:val="20"/>
                <w:color w:val="auto"/>
              </w:rPr>
            </w:pPr>
            <w:r>
              <w:rPr>
                <w:rFonts w:ascii="Arial" w:cs="Arial" w:eastAsia="Arial" w:hAnsi="Arial"/>
                <w:sz w:val="14"/>
                <w:szCs w:val="14"/>
                <w:b w:val="1"/>
                <w:bCs w:val="1"/>
                <w:color w:val="auto"/>
              </w:rPr>
              <w:t>1,240</w:t>
            </w:r>
          </w:p>
        </w:tc>
        <w:tc>
          <w:tcPr>
            <w:tcW w:w="1280" w:type="dxa"/>
            <w:vAlign w:val="bottom"/>
            <w:shd w:val="clear" w:color="auto" w:fill="DDDDDD"/>
          </w:tcPr>
          <w:p>
            <w:pPr>
              <w:jc w:val="right"/>
              <w:ind w:right="148"/>
              <w:spacing w:after="0" w:line="149" w:lineRule="exact"/>
              <w:rPr>
                <w:sz w:val="20"/>
                <w:szCs w:val="20"/>
                <w:color w:val="auto"/>
              </w:rPr>
            </w:pPr>
            <w:r>
              <w:rPr>
                <w:rFonts w:ascii="Arial" w:cs="Arial" w:eastAsia="Arial" w:hAnsi="Arial"/>
                <w:sz w:val="14"/>
                <w:szCs w:val="14"/>
                <w:b w:val="1"/>
                <w:bCs w:val="1"/>
                <w:color w:val="auto"/>
              </w:rPr>
              <w:t>(20)</w:t>
            </w:r>
          </w:p>
        </w:tc>
        <w:tc>
          <w:tcPr>
            <w:tcW w:w="1440" w:type="dxa"/>
            <w:vAlign w:val="bottom"/>
            <w:shd w:val="clear" w:color="auto" w:fill="DDDDDD"/>
          </w:tcPr>
          <w:p>
            <w:pPr>
              <w:jc w:val="right"/>
              <w:ind w:right="428"/>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DDDDDD"/>
          </w:tcPr>
          <w:p>
            <w:pPr>
              <w:jc w:val="right"/>
              <w:ind w:right="68"/>
              <w:spacing w:after="0" w:line="149" w:lineRule="exact"/>
              <w:rPr>
                <w:sz w:val="20"/>
                <w:szCs w:val="20"/>
                <w:color w:val="auto"/>
              </w:rPr>
            </w:pPr>
            <w:r>
              <w:rPr>
                <w:rFonts w:ascii="Arial" w:cs="Arial" w:eastAsia="Arial" w:hAnsi="Arial"/>
                <w:sz w:val="14"/>
                <w:szCs w:val="14"/>
                <w:b w:val="1"/>
                <w:bCs w:val="1"/>
                <w:color w:val="auto"/>
              </w:rPr>
              <w:t>975</w:t>
            </w:r>
          </w:p>
        </w:tc>
        <w:tc>
          <w:tcPr>
            <w:tcW w:w="0" w:type="dxa"/>
            <w:vAlign w:val="bottom"/>
          </w:tcPr>
          <w:p>
            <w:pPr>
              <w:spacing w:after="0"/>
              <w:rPr>
                <w:sz w:val="1"/>
                <w:szCs w:val="1"/>
                <w:color w:val="auto"/>
              </w:rPr>
            </w:pPr>
          </w:p>
        </w:tc>
      </w:tr>
      <w:tr>
        <w:trPr>
          <w:trHeight w:val="144"/>
        </w:trPr>
        <w:tc>
          <w:tcPr>
            <w:tcW w:w="4020" w:type="dxa"/>
            <w:vAlign w:val="bottom"/>
          </w:tcPr>
          <w:p>
            <w:pPr>
              <w:spacing w:after="0" w:line="145" w:lineRule="exact"/>
              <w:rPr>
                <w:sz w:val="20"/>
                <w:szCs w:val="20"/>
                <w:color w:val="auto"/>
              </w:rPr>
            </w:pPr>
            <w:r>
              <w:rPr>
                <w:rFonts w:ascii="Arial" w:cs="Arial" w:eastAsia="Arial" w:hAnsi="Arial"/>
                <w:sz w:val="14"/>
                <w:szCs w:val="14"/>
                <w:color w:val="auto"/>
              </w:rPr>
              <w:t>Other comprehensive (income)/loss reclassified to earnings</w:t>
            </w:r>
          </w:p>
        </w:tc>
        <w:tc>
          <w:tcPr>
            <w:tcW w:w="100" w:type="dxa"/>
            <w:vAlign w:val="bottom"/>
            <w:shd w:val="clear" w:color="auto" w:fill="DDDDDD"/>
          </w:tcPr>
          <w:p>
            <w:pPr>
              <w:spacing w:after="0"/>
              <w:rPr>
                <w:sz w:val="12"/>
                <w:szCs w:val="12"/>
                <w:color w:val="auto"/>
              </w:rPr>
            </w:pPr>
          </w:p>
        </w:tc>
        <w:tc>
          <w:tcPr>
            <w:tcW w:w="720" w:type="dxa"/>
            <w:vAlign w:val="bottom"/>
            <w:shd w:val="clear" w:color="auto" w:fill="DDDDDD"/>
          </w:tcPr>
          <w:p>
            <w:pPr>
              <w:spacing w:after="0"/>
              <w:rPr>
                <w:sz w:val="12"/>
                <w:szCs w:val="12"/>
                <w:color w:val="auto"/>
              </w:rPr>
            </w:pPr>
          </w:p>
        </w:tc>
        <w:tc>
          <w:tcPr>
            <w:tcW w:w="380" w:type="dxa"/>
            <w:vAlign w:val="bottom"/>
            <w:shd w:val="clear" w:color="auto" w:fill="DDDDDD"/>
          </w:tcPr>
          <w:p>
            <w:pPr>
              <w:spacing w:after="0"/>
              <w:rPr>
                <w:sz w:val="12"/>
                <w:szCs w:val="12"/>
                <w:color w:val="auto"/>
              </w:rPr>
            </w:pPr>
          </w:p>
        </w:tc>
        <w:tc>
          <w:tcPr>
            <w:tcW w:w="1260" w:type="dxa"/>
            <w:vAlign w:val="bottom"/>
            <w:shd w:val="clear" w:color="auto" w:fill="DDDDDD"/>
          </w:tcPr>
          <w:p>
            <w:pPr>
              <w:spacing w:after="0"/>
              <w:rPr>
                <w:sz w:val="12"/>
                <w:szCs w:val="12"/>
                <w:color w:val="auto"/>
              </w:rPr>
            </w:pPr>
          </w:p>
        </w:tc>
        <w:tc>
          <w:tcPr>
            <w:tcW w:w="1120" w:type="dxa"/>
            <w:vAlign w:val="bottom"/>
            <w:shd w:val="clear" w:color="auto" w:fill="DDDDDD"/>
          </w:tcPr>
          <w:p>
            <w:pPr>
              <w:spacing w:after="0"/>
              <w:rPr>
                <w:sz w:val="12"/>
                <w:szCs w:val="12"/>
                <w:color w:val="auto"/>
              </w:rPr>
            </w:pPr>
          </w:p>
        </w:tc>
        <w:tc>
          <w:tcPr>
            <w:tcW w:w="1280" w:type="dxa"/>
            <w:vAlign w:val="bottom"/>
            <w:shd w:val="clear" w:color="auto" w:fill="DDDDDD"/>
          </w:tcPr>
          <w:p>
            <w:pPr>
              <w:spacing w:after="0"/>
              <w:rPr>
                <w:sz w:val="12"/>
                <w:szCs w:val="12"/>
                <w:color w:val="auto"/>
              </w:rPr>
            </w:pPr>
          </w:p>
        </w:tc>
        <w:tc>
          <w:tcPr>
            <w:tcW w:w="1440" w:type="dxa"/>
            <w:vAlign w:val="bottom"/>
            <w:shd w:val="clear" w:color="auto" w:fill="DDDDDD"/>
          </w:tcPr>
          <w:p>
            <w:pPr>
              <w:spacing w:after="0"/>
              <w:rPr>
                <w:sz w:val="12"/>
                <w:szCs w:val="12"/>
                <w:color w:val="auto"/>
              </w:rPr>
            </w:pPr>
          </w:p>
        </w:tc>
        <w:tc>
          <w:tcPr>
            <w:tcW w:w="920" w:type="dxa"/>
            <w:vAlign w:val="bottom"/>
            <w:shd w:val="clear" w:color="auto" w:fill="DDDDD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ind w:left="120"/>
              <w:spacing w:after="0" w:line="149" w:lineRule="exact"/>
              <w:rPr>
                <w:sz w:val="20"/>
                <w:szCs w:val="20"/>
                <w:color w:val="auto"/>
              </w:rPr>
            </w:pPr>
            <w:r>
              <w:rPr>
                <w:rFonts w:ascii="Arial" w:cs="Arial" w:eastAsia="Arial" w:hAnsi="Arial"/>
                <w:sz w:val="14"/>
                <w:szCs w:val="14"/>
                <w:color w:val="auto"/>
              </w:rPr>
              <w:t>Interest rate contracts</w:t>
            </w:r>
            <w:r>
              <w:rPr>
                <w:rFonts w:ascii="Arial" w:cs="Arial" w:eastAsia="Arial" w:hAnsi="Arial"/>
                <w:sz w:val="17"/>
                <w:szCs w:val="17"/>
                <w:color w:val="auto"/>
                <w:vertAlign w:val="superscript"/>
              </w:rPr>
              <w:t>1</w:t>
            </w:r>
          </w:p>
        </w:tc>
        <w:tc>
          <w:tcPr>
            <w:tcW w:w="100" w:type="dxa"/>
            <w:vAlign w:val="bottom"/>
            <w:shd w:val="clear" w:color="auto" w:fill="DDDDDD"/>
          </w:tcPr>
          <w:p>
            <w:pPr>
              <w:spacing w:after="0"/>
              <w:rPr>
                <w:sz w:val="12"/>
                <w:szCs w:val="12"/>
                <w:color w:val="auto"/>
              </w:rPr>
            </w:pPr>
          </w:p>
        </w:tc>
        <w:tc>
          <w:tcPr>
            <w:tcW w:w="72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380" w:type="dxa"/>
            <w:vAlign w:val="bottom"/>
            <w:shd w:val="clear" w:color="auto" w:fill="DDDDDD"/>
          </w:tcPr>
          <w:p>
            <w:pPr>
              <w:spacing w:after="0"/>
              <w:rPr>
                <w:sz w:val="12"/>
                <w:szCs w:val="12"/>
                <w:color w:val="auto"/>
              </w:rPr>
            </w:pPr>
          </w:p>
        </w:tc>
        <w:tc>
          <w:tcPr>
            <w:tcW w:w="1260" w:type="dxa"/>
            <w:vAlign w:val="bottom"/>
            <w:shd w:val="clear" w:color="auto" w:fill="DDDDDD"/>
          </w:tcPr>
          <w:p>
            <w:pPr>
              <w:jc w:val="right"/>
              <w:ind w:right="168"/>
              <w:spacing w:after="0" w:line="149" w:lineRule="exact"/>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DDDDDD"/>
          </w:tcPr>
          <w:p>
            <w:pPr>
              <w:jc w:val="right"/>
              <w:ind w:right="168"/>
              <w:spacing w:after="0" w:line="149" w:lineRule="exact"/>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DDDDDD"/>
          </w:tcPr>
          <w:p>
            <w:pPr>
              <w:jc w:val="right"/>
              <w:ind w:right="208"/>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DDDDDD"/>
          </w:tcPr>
          <w:p>
            <w:pPr>
              <w:jc w:val="right"/>
              <w:ind w:right="428"/>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DDDDDD"/>
          </w:tcPr>
          <w:p>
            <w:pPr>
              <w:jc w:val="right"/>
              <w:ind w:right="68"/>
              <w:spacing w:after="0" w:line="149" w:lineRule="exact"/>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76"/>
        </w:trPr>
        <w:tc>
          <w:tcPr>
            <w:tcW w:w="4020" w:type="dxa"/>
            <w:vAlign w:val="bottom"/>
            <w:tcBorders>
              <w:bottom w:val="single" w:sz="8" w:color="auto"/>
            </w:tcBorders>
          </w:tcPr>
          <w:p>
            <w:pPr>
              <w:ind w:left="120"/>
              <w:spacing w:after="0" w:line="176" w:lineRule="exact"/>
              <w:rPr>
                <w:sz w:val="20"/>
                <w:szCs w:val="20"/>
                <w:color w:val="auto"/>
              </w:rPr>
            </w:pPr>
            <w:r>
              <w:rPr>
                <w:rFonts w:ascii="Arial" w:cs="Arial" w:eastAsia="Arial" w:hAnsi="Arial"/>
                <w:sz w:val="14"/>
                <w:szCs w:val="14"/>
                <w:color w:val="auto"/>
              </w:rPr>
              <w:t>Amortization of pension and OPEB actuarial gain</w:t>
            </w:r>
            <w:r>
              <w:rPr>
                <w:rFonts w:ascii="Arial" w:cs="Arial" w:eastAsia="Arial" w:hAnsi="Arial"/>
                <w:sz w:val="18"/>
                <w:szCs w:val="18"/>
                <w:color w:val="auto"/>
                <w:vertAlign w:val="superscript"/>
              </w:rPr>
              <w:t>2</w:t>
            </w:r>
          </w:p>
        </w:tc>
        <w:tc>
          <w:tcPr>
            <w:tcW w:w="100" w:type="dxa"/>
            <w:vAlign w:val="bottom"/>
            <w:tcBorders>
              <w:bottom w:val="single" w:sz="8" w:color="auto"/>
            </w:tcBorders>
            <w:shd w:val="clear" w:color="auto" w:fill="DDDDDD"/>
          </w:tcPr>
          <w:p>
            <w:pPr>
              <w:spacing w:after="0"/>
              <w:rPr>
                <w:sz w:val="15"/>
                <w:szCs w:val="15"/>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DDDDDD"/>
          </w:tcPr>
          <w:p>
            <w:pPr>
              <w:spacing w:after="0"/>
              <w:rPr>
                <w:sz w:val="15"/>
                <w:szCs w:val="15"/>
                <w:color w:val="auto"/>
              </w:rPr>
            </w:pPr>
          </w:p>
        </w:tc>
        <w:tc>
          <w:tcPr>
            <w:tcW w:w="1260" w:type="dxa"/>
            <w:vAlign w:val="bottom"/>
            <w:tcBorders>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DDDDDD"/>
          </w:tcPr>
          <w:p>
            <w:pPr>
              <w:jc w:val="right"/>
              <w:ind w:right="2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DDDDDD"/>
          </w:tcPr>
          <w:p>
            <w:pPr>
              <w:jc w:val="right"/>
              <w:ind w:right="368"/>
              <w:spacing w:after="0"/>
              <w:rPr>
                <w:sz w:val="20"/>
                <w:szCs w:val="20"/>
                <w:color w:val="auto"/>
              </w:rPr>
            </w:pPr>
            <w:r>
              <w:rPr>
                <w:rFonts w:ascii="Arial" w:cs="Arial" w:eastAsia="Arial" w:hAnsi="Arial"/>
                <w:sz w:val="14"/>
                <w:szCs w:val="14"/>
                <w:b w:val="1"/>
                <w:bCs w:val="1"/>
                <w:color w:val="auto"/>
              </w:rPr>
              <w:t>(9)</w:t>
            </w:r>
          </w:p>
        </w:tc>
        <w:tc>
          <w:tcPr>
            <w:tcW w:w="9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42"/>
        </w:trPr>
        <w:tc>
          <w:tcPr>
            <w:tcW w:w="4020" w:type="dxa"/>
            <w:vAlign w:val="bottom"/>
            <w:vMerge w:val="restart"/>
          </w:tcPr>
          <w:p>
            <w:pPr>
              <w:spacing w:after="0"/>
              <w:rPr>
                <w:sz w:val="20"/>
                <w:szCs w:val="20"/>
                <w:color w:val="auto"/>
              </w:rPr>
            </w:pPr>
            <w:r>
              <w:rPr>
                <w:rFonts w:ascii="Arial" w:cs="Arial" w:eastAsia="Arial" w:hAnsi="Arial"/>
                <w:sz w:val="14"/>
                <w:szCs w:val="14"/>
                <w:color w:val="auto"/>
              </w:rPr>
              <w:t>Tax impact</w:t>
            </w:r>
          </w:p>
        </w:tc>
        <w:tc>
          <w:tcPr>
            <w:tcW w:w="100" w:type="dxa"/>
            <w:vAlign w:val="bottom"/>
            <w:shd w:val="clear" w:color="auto" w:fill="DDDDDD"/>
          </w:tcPr>
          <w:p>
            <w:pPr>
              <w:spacing w:after="0"/>
              <w:rPr>
                <w:sz w:val="12"/>
                <w:szCs w:val="12"/>
                <w:color w:val="auto"/>
              </w:rPr>
            </w:pPr>
          </w:p>
        </w:tc>
        <w:tc>
          <w:tcPr>
            <w:tcW w:w="720" w:type="dxa"/>
            <w:vAlign w:val="bottom"/>
            <w:shd w:val="clear" w:color="auto" w:fill="DDDDDD"/>
          </w:tcPr>
          <w:p>
            <w:pPr>
              <w:jc w:val="right"/>
              <w:spacing w:after="0" w:line="142" w:lineRule="exact"/>
              <w:rPr>
                <w:sz w:val="20"/>
                <w:szCs w:val="20"/>
                <w:color w:val="auto"/>
              </w:rPr>
            </w:pPr>
            <w:r>
              <w:rPr>
                <w:rFonts w:ascii="Arial" w:cs="Arial" w:eastAsia="Arial" w:hAnsi="Arial"/>
                <w:sz w:val="14"/>
                <w:szCs w:val="14"/>
                <w:b w:val="1"/>
                <w:bCs w:val="1"/>
                <w:color w:val="auto"/>
              </w:rPr>
              <w:t>5</w:t>
            </w:r>
          </w:p>
        </w:tc>
        <w:tc>
          <w:tcPr>
            <w:tcW w:w="380" w:type="dxa"/>
            <w:vAlign w:val="bottom"/>
            <w:shd w:val="clear" w:color="auto" w:fill="DDDDDD"/>
          </w:tcPr>
          <w:p>
            <w:pPr>
              <w:spacing w:after="0"/>
              <w:rPr>
                <w:sz w:val="12"/>
                <w:szCs w:val="12"/>
                <w:color w:val="auto"/>
              </w:rPr>
            </w:pPr>
          </w:p>
        </w:tc>
        <w:tc>
          <w:tcPr>
            <w:tcW w:w="1260" w:type="dxa"/>
            <w:vAlign w:val="bottom"/>
            <w:shd w:val="clear" w:color="auto" w:fill="DDDDDD"/>
          </w:tcPr>
          <w:p>
            <w:pPr>
              <w:jc w:val="right"/>
              <w:ind w:right="108"/>
              <w:spacing w:after="0" w:line="142" w:lineRule="exact"/>
              <w:rPr>
                <w:sz w:val="20"/>
                <w:szCs w:val="20"/>
                <w:color w:val="auto"/>
              </w:rPr>
            </w:pPr>
            <w:r>
              <w:rPr>
                <w:rFonts w:ascii="Arial" w:cs="Arial" w:eastAsia="Arial" w:hAnsi="Arial"/>
                <w:sz w:val="14"/>
                <w:szCs w:val="14"/>
                <w:b w:val="1"/>
                <w:bCs w:val="1"/>
                <w:color w:val="auto"/>
              </w:rPr>
              <w:t>(248)</w:t>
            </w:r>
          </w:p>
        </w:tc>
        <w:tc>
          <w:tcPr>
            <w:tcW w:w="1120" w:type="dxa"/>
            <w:vAlign w:val="bottom"/>
            <w:shd w:val="clear" w:color="auto" w:fill="DDDDDD"/>
          </w:tcPr>
          <w:p>
            <w:pPr>
              <w:jc w:val="right"/>
              <w:ind w:right="168"/>
              <w:spacing w:after="0" w:line="142" w:lineRule="exact"/>
              <w:rPr>
                <w:sz w:val="20"/>
                <w:szCs w:val="20"/>
                <w:color w:val="auto"/>
              </w:rPr>
            </w:pPr>
            <w:r>
              <w:rPr>
                <w:rFonts w:ascii="Arial" w:cs="Arial" w:eastAsia="Arial" w:hAnsi="Arial"/>
                <w:sz w:val="14"/>
                <w:szCs w:val="14"/>
                <w:b w:val="1"/>
                <w:bCs w:val="1"/>
                <w:color w:val="auto"/>
              </w:rPr>
              <w:t>1,240</w:t>
            </w:r>
          </w:p>
        </w:tc>
        <w:tc>
          <w:tcPr>
            <w:tcW w:w="1280" w:type="dxa"/>
            <w:vAlign w:val="bottom"/>
            <w:shd w:val="clear" w:color="auto" w:fill="DDDDDD"/>
          </w:tcPr>
          <w:p>
            <w:pPr>
              <w:jc w:val="right"/>
              <w:ind w:right="148"/>
              <w:spacing w:after="0" w:line="142" w:lineRule="exact"/>
              <w:rPr>
                <w:sz w:val="20"/>
                <w:szCs w:val="20"/>
                <w:color w:val="auto"/>
              </w:rPr>
            </w:pPr>
            <w:r>
              <w:rPr>
                <w:rFonts w:ascii="Arial" w:cs="Arial" w:eastAsia="Arial" w:hAnsi="Arial"/>
                <w:sz w:val="14"/>
                <w:szCs w:val="14"/>
                <w:b w:val="1"/>
                <w:bCs w:val="1"/>
                <w:color w:val="auto"/>
              </w:rPr>
              <w:t>(20)</w:t>
            </w:r>
          </w:p>
        </w:tc>
        <w:tc>
          <w:tcPr>
            <w:tcW w:w="1440" w:type="dxa"/>
            <w:vAlign w:val="bottom"/>
            <w:shd w:val="clear" w:color="auto" w:fill="DDDDDD"/>
          </w:tcPr>
          <w:p>
            <w:pPr>
              <w:jc w:val="right"/>
              <w:ind w:right="368"/>
              <w:spacing w:after="0" w:line="142" w:lineRule="exact"/>
              <w:rPr>
                <w:sz w:val="20"/>
                <w:szCs w:val="20"/>
                <w:color w:val="auto"/>
              </w:rPr>
            </w:pPr>
            <w:r>
              <w:rPr>
                <w:rFonts w:ascii="Arial" w:cs="Arial" w:eastAsia="Arial" w:hAnsi="Arial"/>
                <w:sz w:val="14"/>
                <w:szCs w:val="14"/>
                <w:b w:val="1"/>
                <w:bCs w:val="1"/>
                <w:color w:val="auto"/>
              </w:rPr>
              <w:t>(9)</w:t>
            </w:r>
          </w:p>
        </w:tc>
        <w:tc>
          <w:tcPr>
            <w:tcW w:w="920" w:type="dxa"/>
            <w:vAlign w:val="bottom"/>
            <w:shd w:val="clear" w:color="auto" w:fill="DDDDDD"/>
          </w:tcPr>
          <w:p>
            <w:pPr>
              <w:jc w:val="right"/>
              <w:ind w:right="68"/>
              <w:spacing w:after="0" w:line="142" w:lineRule="exact"/>
              <w:rPr>
                <w:sz w:val="20"/>
                <w:szCs w:val="20"/>
                <w:color w:val="auto"/>
              </w:rPr>
            </w:pPr>
            <w:r>
              <w:rPr>
                <w:rFonts w:ascii="Arial" w:cs="Arial" w:eastAsia="Arial" w:hAnsi="Arial"/>
                <w:sz w:val="14"/>
                <w:szCs w:val="14"/>
                <w:b w:val="1"/>
                <w:bCs w:val="1"/>
                <w:color w:val="auto"/>
              </w:rPr>
              <w:t>968</w:t>
            </w:r>
          </w:p>
        </w:tc>
        <w:tc>
          <w:tcPr>
            <w:tcW w:w="0" w:type="dxa"/>
            <w:vAlign w:val="bottom"/>
          </w:tcPr>
          <w:p>
            <w:pPr>
              <w:spacing w:after="0"/>
              <w:rPr>
                <w:sz w:val="1"/>
                <w:szCs w:val="1"/>
                <w:color w:val="auto"/>
              </w:rPr>
            </w:pPr>
          </w:p>
        </w:tc>
      </w:tr>
      <w:tr>
        <w:trPr>
          <w:trHeight w:val="126"/>
        </w:trPr>
        <w:tc>
          <w:tcPr>
            <w:tcW w:w="4020" w:type="dxa"/>
            <w:vAlign w:val="bottom"/>
            <w:vMerge w:val="continue"/>
          </w:tcPr>
          <w:p>
            <w:pPr>
              <w:spacing w:after="0"/>
              <w:rPr>
                <w:sz w:val="10"/>
                <w:szCs w:val="10"/>
                <w:color w:val="auto"/>
              </w:rPr>
            </w:pPr>
          </w:p>
        </w:tc>
        <w:tc>
          <w:tcPr>
            <w:tcW w:w="100" w:type="dxa"/>
            <w:vAlign w:val="bottom"/>
            <w:shd w:val="clear" w:color="auto" w:fill="DDDDDD"/>
          </w:tcPr>
          <w:p>
            <w:pPr>
              <w:spacing w:after="0"/>
              <w:rPr>
                <w:sz w:val="10"/>
                <w:szCs w:val="10"/>
                <w:color w:val="auto"/>
              </w:rPr>
            </w:pPr>
          </w:p>
        </w:tc>
        <w:tc>
          <w:tcPr>
            <w:tcW w:w="720" w:type="dxa"/>
            <w:vAlign w:val="bottom"/>
            <w:shd w:val="clear" w:color="auto" w:fill="DDDDDD"/>
          </w:tcPr>
          <w:p>
            <w:pPr>
              <w:spacing w:after="0"/>
              <w:rPr>
                <w:sz w:val="10"/>
                <w:szCs w:val="10"/>
                <w:color w:val="auto"/>
              </w:rPr>
            </w:pPr>
          </w:p>
        </w:tc>
        <w:tc>
          <w:tcPr>
            <w:tcW w:w="380" w:type="dxa"/>
            <w:vAlign w:val="bottom"/>
            <w:shd w:val="clear" w:color="auto" w:fill="DDDDDD"/>
          </w:tcPr>
          <w:p>
            <w:pPr>
              <w:spacing w:after="0"/>
              <w:rPr>
                <w:sz w:val="10"/>
                <w:szCs w:val="10"/>
                <w:color w:val="auto"/>
              </w:rPr>
            </w:pPr>
          </w:p>
        </w:tc>
        <w:tc>
          <w:tcPr>
            <w:tcW w:w="1260" w:type="dxa"/>
            <w:vAlign w:val="bottom"/>
            <w:shd w:val="clear" w:color="auto" w:fill="DDDDDD"/>
          </w:tcPr>
          <w:p>
            <w:pPr>
              <w:spacing w:after="0"/>
              <w:rPr>
                <w:sz w:val="10"/>
                <w:szCs w:val="10"/>
                <w:color w:val="auto"/>
              </w:rPr>
            </w:pPr>
          </w:p>
        </w:tc>
        <w:tc>
          <w:tcPr>
            <w:tcW w:w="1120" w:type="dxa"/>
            <w:vAlign w:val="bottom"/>
            <w:shd w:val="clear" w:color="auto" w:fill="DDDDDD"/>
          </w:tcPr>
          <w:p>
            <w:pPr>
              <w:spacing w:after="0"/>
              <w:rPr>
                <w:sz w:val="10"/>
                <w:szCs w:val="10"/>
                <w:color w:val="auto"/>
              </w:rPr>
            </w:pPr>
          </w:p>
        </w:tc>
        <w:tc>
          <w:tcPr>
            <w:tcW w:w="1280" w:type="dxa"/>
            <w:vAlign w:val="bottom"/>
            <w:shd w:val="clear" w:color="auto" w:fill="DDDDDD"/>
          </w:tcPr>
          <w:p>
            <w:pPr>
              <w:spacing w:after="0"/>
              <w:rPr>
                <w:sz w:val="10"/>
                <w:szCs w:val="10"/>
                <w:color w:val="auto"/>
              </w:rPr>
            </w:pPr>
          </w:p>
        </w:tc>
        <w:tc>
          <w:tcPr>
            <w:tcW w:w="1440" w:type="dxa"/>
            <w:vAlign w:val="bottom"/>
            <w:shd w:val="clear" w:color="auto" w:fill="DDDDDD"/>
          </w:tcPr>
          <w:p>
            <w:pPr>
              <w:spacing w:after="0"/>
              <w:rPr>
                <w:sz w:val="10"/>
                <w:szCs w:val="10"/>
                <w:color w:val="auto"/>
              </w:rPr>
            </w:pPr>
          </w:p>
        </w:tc>
        <w:tc>
          <w:tcPr>
            <w:tcW w:w="920" w:type="dxa"/>
            <w:vAlign w:val="bottom"/>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20" w:type="dxa"/>
            <w:vAlign w:val="bottom"/>
          </w:tcPr>
          <w:p>
            <w:pPr>
              <w:ind w:left="120"/>
              <w:spacing w:after="0" w:line="149" w:lineRule="exact"/>
              <w:rPr>
                <w:sz w:val="20"/>
                <w:szCs w:val="20"/>
                <w:color w:val="auto"/>
              </w:rPr>
            </w:pPr>
            <w:r>
              <w:rPr>
                <w:rFonts w:ascii="Arial" w:cs="Arial" w:eastAsia="Arial" w:hAnsi="Arial"/>
                <w:sz w:val="14"/>
                <w:szCs w:val="14"/>
                <w:color w:val="auto"/>
              </w:rPr>
              <w:t>Income tax on amounts retained in AOCI</w:t>
            </w:r>
          </w:p>
        </w:tc>
        <w:tc>
          <w:tcPr>
            <w:tcW w:w="100" w:type="dxa"/>
            <w:vAlign w:val="bottom"/>
            <w:shd w:val="clear" w:color="auto" w:fill="DDDDDD"/>
          </w:tcPr>
          <w:p>
            <w:pPr>
              <w:spacing w:after="0"/>
              <w:rPr>
                <w:sz w:val="12"/>
                <w:szCs w:val="12"/>
                <w:color w:val="auto"/>
              </w:rPr>
            </w:pPr>
          </w:p>
        </w:tc>
        <w:tc>
          <w:tcPr>
            <w:tcW w:w="1100" w:type="dxa"/>
            <w:vAlign w:val="bottom"/>
            <w:gridSpan w:val="2"/>
            <w:shd w:val="clear" w:color="auto" w:fill="DDDDDD"/>
          </w:tcPr>
          <w:p>
            <w:pPr>
              <w:jc w:val="right"/>
              <w:ind w:right="340"/>
              <w:spacing w:after="0" w:line="149" w:lineRule="exact"/>
              <w:rPr>
                <w:sz w:val="20"/>
                <w:szCs w:val="20"/>
                <w:color w:val="auto"/>
              </w:rPr>
            </w:pPr>
            <w:r>
              <w:rPr>
                <w:rFonts w:ascii="Arial" w:cs="Arial" w:eastAsia="Arial" w:hAnsi="Arial"/>
                <w:sz w:val="14"/>
                <w:szCs w:val="14"/>
                <w:b w:val="1"/>
                <w:bCs w:val="1"/>
                <w:color w:val="auto"/>
              </w:rPr>
              <w:t>(1)</w:t>
            </w:r>
          </w:p>
        </w:tc>
        <w:tc>
          <w:tcPr>
            <w:tcW w:w="1260" w:type="dxa"/>
            <w:vAlign w:val="bottom"/>
            <w:shd w:val="clear" w:color="auto" w:fill="DDDDDD"/>
          </w:tcPr>
          <w:p>
            <w:pPr>
              <w:jc w:val="right"/>
              <w:ind w:right="168"/>
              <w:spacing w:after="0" w:line="149" w:lineRule="exact"/>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DDDDDD"/>
          </w:tcPr>
          <w:p>
            <w:pPr>
              <w:jc w:val="right"/>
              <w:ind w:right="168"/>
              <w:spacing w:after="0" w:line="149" w:lineRule="exact"/>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DDDDDD"/>
          </w:tcPr>
          <w:p>
            <w:pPr>
              <w:jc w:val="right"/>
              <w:ind w:right="208"/>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DDDDDD"/>
          </w:tcPr>
          <w:p>
            <w:pPr>
              <w:jc w:val="right"/>
              <w:ind w:right="428"/>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DDDDDD"/>
          </w:tcPr>
          <w:p>
            <w:pPr>
              <w:jc w:val="right"/>
              <w:ind w:right="8"/>
              <w:spacing w:after="0" w:line="149"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71"/>
        </w:trPr>
        <w:tc>
          <w:tcPr>
            <w:tcW w:w="40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Income tax on amounts reclassified to earnings</w:t>
            </w:r>
          </w:p>
        </w:tc>
        <w:tc>
          <w:tcPr>
            <w:tcW w:w="100" w:type="dxa"/>
            <w:vAlign w:val="bottom"/>
            <w:tcBorders>
              <w:bottom w:val="single" w:sz="8" w:color="auto"/>
            </w:tcBorders>
            <w:shd w:val="clear" w:color="auto" w:fill="DDDDDD"/>
          </w:tcPr>
          <w:p>
            <w:pPr>
              <w:spacing w:after="0"/>
              <w:rPr>
                <w:sz w:val="14"/>
                <w:szCs w:val="14"/>
                <w:color w:val="auto"/>
              </w:rPr>
            </w:pPr>
          </w:p>
        </w:tc>
        <w:tc>
          <w:tcPr>
            <w:tcW w:w="1100" w:type="dxa"/>
            <w:vAlign w:val="bottom"/>
            <w:tcBorders>
              <w:bottom w:val="single" w:sz="8" w:color="auto"/>
            </w:tcBorders>
            <w:gridSpan w:val="2"/>
            <w:shd w:val="clear" w:color="auto" w:fill="DDDDDD"/>
          </w:tcPr>
          <w:p>
            <w:pPr>
              <w:jc w:val="right"/>
              <w:ind w:right="400"/>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DDDDDD"/>
          </w:tcPr>
          <w:p>
            <w:pPr>
              <w:jc w:val="right"/>
              <w:ind w:right="2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auto"/>
              </w:rPr>
              <w:t>4</w:t>
            </w:r>
          </w:p>
        </w:tc>
        <w:tc>
          <w:tcPr>
            <w:tcW w:w="920" w:type="dxa"/>
            <w:vAlign w:val="bottom"/>
            <w:tcBorders>
              <w:bottom w:val="single" w:sz="8" w:color="auto"/>
            </w:tcBorders>
            <w:shd w:val="clear" w:color="auto" w:fill="DDDDDD"/>
          </w:tcPr>
          <w:p>
            <w:pPr>
              <w:jc w:val="right"/>
              <w:ind w:right="68"/>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00" w:type="dxa"/>
            <w:vAlign w:val="bottom"/>
            <w:tcBorders>
              <w:bottom w:val="single" w:sz="8" w:color="auto"/>
            </w:tcBorders>
            <w:shd w:val="clear" w:color="auto" w:fill="DDDDDD"/>
          </w:tcPr>
          <w:p>
            <w:pPr>
              <w:spacing w:after="0"/>
              <w:rPr>
                <w:sz w:val="14"/>
                <w:szCs w:val="14"/>
                <w:color w:val="auto"/>
              </w:rPr>
            </w:pPr>
          </w:p>
        </w:tc>
        <w:tc>
          <w:tcPr>
            <w:tcW w:w="1100" w:type="dxa"/>
            <w:vAlign w:val="bottom"/>
            <w:tcBorders>
              <w:bottom w:val="single" w:sz="8" w:color="auto"/>
            </w:tcBorders>
            <w:gridSpan w:val="2"/>
            <w:shd w:val="clear" w:color="auto" w:fill="DDDDDD"/>
          </w:tcPr>
          <w:p>
            <w:pPr>
              <w:jc w:val="right"/>
              <w:ind w:right="340"/>
              <w:spacing w:after="0" w:line="142" w:lineRule="exact"/>
              <w:rPr>
                <w:sz w:val="20"/>
                <w:szCs w:val="20"/>
                <w:color w:val="auto"/>
              </w:rPr>
            </w:pPr>
            <w:r>
              <w:rPr>
                <w:rFonts w:ascii="Arial" w:cs="Arial" w:eastAsia="Arial" w:hAnsi="Arial"/>
                <w:sz w:val="14"/>
                <w:szCs w:val="14"/>
                <w:b w:val="1"/>
                <w:bCs w:val="1"/>
                <w:color w:val="auto"/>
              </w:rPr>
              <w:t>(1)</w:t>
            </w:r>
          </w:p>
        </w:tc>
        <w:tc>
          <w:tcPr>
            <w:tcW w:w="1260" w:type="dxa"/>
            <w:vAlign w:val="bottom"/>
            <w:tcBorders>
              <w:bottom w:val="single" w:sz="8" w:color="auto"/>
            </w:tcBorders>
            <w:shd w:val="clear" w:color="auto" w:fill="DDDDDD"/>
          </w:tcPr>
          <w:p>
            <w:pPr>
              <w:jc w:val="right"/>
              <w:ind w:right="168"/>
              <w:spacing w:after="0" w:line="142" w:lineRule="exact"/>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DDDDDD"/>
          </w:tcPr>
          <w:p>
            <w:pPr>
              <w:jc w:val="right"/>
              <w:ind w:right="168"/>
              <w:spacing w:after="0" w:line="142" w:lineRule="exact"/>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DDDDDD"/>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DDDDDD"/>
          </w:tcPr>
          <w:p>
            <w:pPr>
              <w:jc w:val="right"/>
              <w:ind w:right="428"/>
              <w:spacing w:after="0" w:line="142" w:lineRule="exact"/>
              <w:rPr>
                <w:sz w:val="20"/>
                <w:szCs w:val="20"/>
                <w:color w:val="auto"/>
              </w:rPr>
            </w:pPr>
            <w:r>
              <w:rPr>
                <w:rFonts w:ascii="Arial" w:cs="Arial" w:eastAsia="Arial" w:hAnsi="Arial"/>
                <w:sz w:val="14"/>
                <w:szCs w:val="14"/>
                <w:b w:val="1"/>
                <w:bCs w:val="1"/>
                <w:color w:val="auto"/>
              </w:rPr>
              <w:t>4</w:t>
            </w:r>
          </w:p>
        </w:tc>
        <w:tc>
          <w:tcPr>
            <w:tcW w:w="920" w:type="dxa"/>
            <w:vAlign w:val="bottom"/>
            <w:tcBorders>
              <w:bottom w:val="single" w:sz="8" w:color="auto"/>
            </w:tcBorders>
            <w:shd w:val="clear" w:color="auto" w:fill="DDDDDD"/>
          </w:tcPr>
          <w:p>
            <w:pPr>
              <w:jc w:val="right"/>
              <w:ind w:right="68"/>
              <w:spacing w:after="0" w:line="142" w:lineRule="exact"/>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36"/>
        </w:trPr>
        <w:tc>
          <w:tcPr>
            <w:tcW w:w="4020" w:type="dxa"/>
            <w:vAlign w:val="bottom"/>
            <w:tcBorders>
              <w:top w:val="single" w:sz="8" w:color="auto"/>
              <w:bottom w:val="single" w:sz="8" w:color="auto"/>
            </w:tcBorders>
          </w:tcPr>
          <w:p>
            <w:pPr>
              <w:spacing w:after="0" w:line="135" w:lineRule="exact"/>
              <w:rPr>
                <w:sz w:val="20"/>
                <w:szCs w:val="20"/>
                <w:color w:val="auto"/>
              </w:rPr>
            </w:pPr>
            <w:r>
              <w:rPr>
                <w:rFonts w:ascii="Arial" w:cs="Arial" w:eastAsia="Arial" w:hAnsi="Arial"/>
                <w:sz w:val="14"/>
                <w:szCs w:val="14"/>
                <w:color w:val="auto"/>
              </w:rPr>
              <w:t>Balance as at March 31, 2026</w:t>
            </w:r>
          </w:p>
        </w:tc>
        <w:tc>
          <w:tcPr>
            <w:tcW w:w="100" w:type="dxa"/>
            <w:vAlign w:val="bottom"/>
            <w:tcBorders>
              <w:top w:val="single" w:sz="8" w:color="DDDDDD"/>
              <w:bottom w:val="single" w:sz="8" w:color="auto"/>
            </w:tcBorders>
            <w:shd w:val="clear" w:color="auto" w:fill="DDDDDD"/>
          </w:tcPr>
          <w:p>
            <w:pPr>
              <w:spacing w:after="0"/>
              <w:rPr>
                <w:sz w:val="11"/>
                <w:szCs w:val="11"/>
                <w:color w:val="auto"/>
              </w:rPr>
            </w:pPr>
          </w:p>
        </w:tc>
        <w:tc>
          <w:tcPr>
            <w:tcW w:w="720" w:type="dxa"/>
            <w:vAlign w:val="bottom"/>
            <w:tcBorders>
              <w:top w:val="single" w:sz="8" w:color="DDDDDD"/>
              <w:bottom w:val="single" w:sz="8" w:color="auto"/>
            </w:tcBorders>
            <w:shd w:val="clear" w:color="auto" w:fill="DDDDDD"/>
          </w:tcPr>
          <w:p>
            <w:pPr>
              <w:jc w:val="right"/>
              <w:spacing w:after="0" w:line="135" w:lineRule="exact"/>
              <w:rPr>
                <w:sz w:val="20"/>
                <w:szCs w:val="20"/>
                <w:color w:val="auto"/>
              </w:rPr>
            </w:pPr>
            <w:r>
              <w:rPr>
                <w:rFonts w:ascii="Arial" w:cs="Arial" w:eastAsia="Arial" w:hAnsi="Arial"/>
                <w:sz w:val="14"/>
                <w:szCs w:val="14"/>
                <w:b w:val="1"/>
                <w:bCs w:val="1"/>
                <w:color w:val="auto"/>
              </w:rPr>
              <w:t>466</w:t>
            </w:r>
          </w:p>
        </w:tc>
        <w:tc>
          <w:tcPr>
            <w:tcW w:w="380" w:type="dxa"/>
            <w:vAlign w:val="bottom"/>
            <w:tcBorders>
              <w:top w:val="single" w:sz="8" w:color="DDDDDD"/>
              <w:bottom w:val="single" w:sz="8" w:color="auto"/>
            </w:tcBorders>
            <w:shd w:val="clear" w:color="auto" w:fill="DDDDDD"/>
          </w:tcPr>
          <w:p>
            <w:pPr>
              <w:spacing w:after="0"/>
              <w:rPr>
                <w:sz w:val="11"/>
                <w:szCs w:val="11"/>
                <w:color w:val="auto"/>
              </w:rPr>
            </w:pPr>
          </w:p>
        </w:tc>
        <w:tc>
          <w:tcPr>
            <w:tcW w:w="1260" w:type="dxa"/>
            <w:vAlign w:val="bottom"/>
            <w:tcBorders>
              <w:top w:val="single" w:sz="8" w:color="DDDDDD"/>
              <w:bottom w:val="single" w:sz="8" w:color="auto"/>
            </w:tcBorders>
            <w:shd w:val="clear" w:color="auto" w:fill="DDDDDD"/>
          </w:tcPr>
          <w:p>
            <w:pPr>
              <w:jc w:val="right"/>
              <w:ind w:right="108"/>
              <w:spacing w:after="0" w:line="135" w:lineRule="exact"/>
              <w:rPr>
                <w:sz w:val="20"/>
                <w:szCs w:val="20"/>
                <w:color w:val="auto"/>
              </w:rPr>
            </w:pPr>
            <w:r>
              <w:rPr>
                <w:rFonts w:ascii="Arial" w:cs="Arial" w:eastAsia="Arial" w:hAnsi="Arial"/>
                <w:sz w:val="14"/>
                <w:szCs w:val="14"/>
                <w:b w:val="1"/>
                <w:bCs w:val="1"/>
                <w:color w:val="auto"/>
              </w:rPr>
              <w:t>(1,862)</w:t>
            </w:r>
          </w:p>
        </w:tc>
        <w:tc>
          <w:tcPr>
            <w:tcW w:w="1120" w:type="dxa"/>
            <w:vAlign w:val="bottom"/>
            <w:tcBorders>
              <w:top w:val="single" w:sz="8" w:color="DDDDDD"/>
              <w:bottom w:val="single" w:sz="8" w:color="auto"/>
            </w:tcBorders>
            <w:shd w:val="clear" w:color="auto" w:fill="DDDDDD"/>
          </w:tcPr>
          <w:p>
            <w:pPr>
              <w:jc w:val="right"/>
              <w:ind w:right="168"/>
              <w:spacing w:after="0" w:line="135" w:lineRule="exact"/>
              <w:rPr>
                <w:sz w:val="20"/>
                <w:szCs w:val="20"/>
                <w:color w:val="auto"/>
              </w:rPr>
            </w:pPr>
            <w:r>
              <w:rPr>
                <w:rFonts w:ascii="Arial" w:cs="Arial" w:eastAsia="Arial" w:hAnsi="Arial"/>
                <w:sz w:val="14"/>
                <w:szCs w:val="14"/>
                <w:b w:val="1"/>
                <w:bCs w:val="1"/>
                <w:color w:val="auto"/>
              </w:rPr>
              <w:t>6,612</w:t>
            </w:r>
          </w:p>
        </w:tc>
        <w:tc>
          <w:tcPr>
            <w:tcW w:w="1280" w:type="dxa"/>
            <w:vAlign w:val="bottom"/>
            <w:tcBorders>
              <w:top w:val="single" w:sz="8" w:color="DDDDDD"/>
              <w:bottom w:val="single" w:sz="8" w:color="auto"/>
            </w:tcBorders>
            <w:shd w:val="clear" w:color="auto" w:fill="DDDDDD"/>
          </w:tcPr>
          <w:p>
            <w:pPr>
              <w:jc w:val="right"/>
              <w:ind w:right="208"/>
              <w:spacing w:after="0" w:line="135" w:lineRule="exact"/>
              <w:rPr>
                <w:sz w:val="20"/>
                <w:szCs w:val="20"/>
                <w:color w:val="auto"/>
              </w:rPr>
            </w:pPr>
            <w:r>
              <w:rPr>
                <w:rFonts w:ascii="Arial" w:cs="Arial" w:eastAsia="Arial" w:hAnsi="Arial"/>
                <w:sz w:val="14"/>
                <w:szCs w:val="14"/>
                <w:b w:val="1"/>
                <w:bCs w:val="1"/>
                <w:color w:val="auto"/>
              </w:rPr>
              <w:t>5</w:t>
            </w:r>
          </w:p>
        </w:tc>
        <w:tc>
          <w:tcPr>
            <w:tcW w:w="1440" w:type="dxa"/>
            <w:vAlign w:val="bottom"/>
            <w:tcBorders>
              <w:top w:val="single" w:sz="8" w:color="DDDDDD"/>
              <w:bottom w:val="single" w:sz="8" w:color="auto"/>
            </w:tcBorders>
            <w:shd w:val="clear" w:color="auto" w:fill="DDDDDD"/>
          </w:tcPr>
          <w:p>
            <w:pPr>
              <w:jc w:val="right"/>
              <w:ind w:right="428"/>
              <w:spacing w:after="0" w:line="135" w:lineRule="exact"/>
              <w:rPr>
                <w:sz w:val="20"/>
                <w:szCs w:val="20"/>
                <w:color w:val="auto"/>
              </w:rPr>
            </w:pPr>
            <w:r>
              <w:rPr>
                <w:rFonts w:ascii="Arial" w:cs="Arial" w:eastAsia="Arial" w:hAnsi="Arial"/>
                <w:sz w:val="14"/>
                <w:szCs w:val="14"/>
                <w:b w:val="1"/>
                <w:bCs w:val="1"/>
                <w:color w:val="auto"/>
              </w:rPr>
              <w:t>431</w:t>
            </w:r>
          </w:p>
        </w:tc>
        <w:tc>
          <w:tcPr>
            <w:tcW w:w="920" w:type="dxa"/>
            <w:vAlign w:val="bottom"/>
            <w:tcBorders>
              <w:top w:val="single" w:sz="8" w:color="DDDDDD"/>
              <w:bottom w:val="single" w:sz="8" w:color="auto"/>
            </w:tcBorders>
            <w:shd w:val="clear" w:color="auto" w:fill="DDDDDD"/>
          </w:tcPr>
          <w:p>
            <w:pPr>
              <w:jc w:val="right"/>
              <w:ind w:right="68"/>
              <w:spacing w:after="0" w:line="135" w:lineRule="exact"/>
              <w:rPr>
                <w:sz w:val="20"/>
                <w:szCs w:val="20"/>
                <w:color w:val="auto"/>
              </w:rPr>
            </w:pPr>
            <w:r>
              <w:rPr>
                <w:rFonts w:ascii="Arial" w:cs="Arial" w:eastAsia="Arial" w:hAnsi="Arial"/>
                <w:sz w:val="14"/>
                <w:szCs w:val="14"/>
                <w:b w:val="1"/>
                <w:bCs w:val="1"/>
                <w:color w:val="auto"/>
              </w:rPr>
              <w:t>5,652</w:t>
            </w:r>
          </w:p>
        </w:tc>
        <w:tc>
          <w:tcPr>
            <w:tcW w:w="0" w:type="dxa"/>
            <w:vAlign w:val="bottom"/>
          </w:tcPr>
          <w:p>
            <w:pPr>
              <w:spacing w:after="0"/>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080" w:type="dxa"/>
            <w:vAlign w:val="bottom"/>
            <w:vMerge w:val="restart"/>
          </w:tcPr>
          <w:p>
            <w:pPr>
              <w:jc w:val="right"/>
              <w:ind w:right="248"/>
              <w:spacing w:after="0"/>
              <w:rPr>
                <w:sz w:val="20"/>
                <w:szCs w:val="20"/>
                <w:color w:val="auto"/>
              </w:rPr>
            </w:pPr>
            <w:r>
              <w:rPr>
                <w:rFonts w:ascii="Arial" w:cs="Arial" w:eastAsia="Arial" w:hAnsi="Arial"/>
                <w:sz w:val="14"/>
                <w:szCs w:val="14"/>
                <w:color w:val="auto"/>
              </w:rPr>
              <w:t>Cash</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Excluded</w:t>
            </w:r>
          </w:p>
        </w:tc>
        <w:tc>
          <w:tcPr>
            <w:tcW w:w="1080" w:type="dxa"/>
            <w:vAlign w:val="bottom"/>
            <w:vMerge w:val="restart"/>
          </w:tcPr>
          <w:p>
            <w:pPr>
              <w:jc w:val="right"/>
              <w:ind w:right="168"/>
              <w:spacing w:after="0"/>
              <w:rPr>
                <w:sz w:val="20"/>
                <w:szCs w:val="20"/>
                <w:color w:val="auto"/>
              </w:rPr>
            </w:pPr>
            <w:r>
              <w:rPr>
                <w:rFonts w:ascii="Arial" w:cs="Arial" w:eastAsia="Arial" w:hAnsi="Arial"/>
                <w:sz w:val="14"/>
                <w:szCs w:val="14"/>
                <w:color w:val="auto"/>
              </w:rPr>
              <w:t>Net</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Cumulative</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Equity</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Pension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Components</w:t>
            </w:r>
          </w:p>
        </w:tc>
        <w:tc>
          <w:tcPr>
            <w:tcW w:w="10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Investees</w:t>
            </w:r>
          </w:p>
        </w:tc>
        <w:tc>
          <w:tcPr>
            <w:tcW w:w="12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and</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Flow</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of Fair Value</w:t>
            </w:r>
          </w:p>
        </w:tc>
        <w:tc>
          <w:tcPr>
            <w:tcW w:w="108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Investment</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Translation</w:t>
            </w:r>
          </w:p>
        </w:tc>
        <w:tc>
          <w:tcPr>
            <w:tcW w:w="11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and Other</w:t>
            </w:r>
          </w:p>
        </w:tc>
        <w:tc>
          <w:tcPr>
            <w:tcW w:w="12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OPEB</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Hedges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Hedges</w:t>
            </w: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Hedges</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Adjustment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Investments</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Adjustment</w:t>
            </w: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80" w:type="dxa"/>
            <w:vAlign w:val="bottom"/>
          </w:tcPr>
          <w:p>
            <w:pPr>
              <w:spacing w:after="0" w:line="119" w:lineRule="exact"/>
              <w:rPr>
                <w:sz w:val="20"/>
                <w:szCs w:val="20"/>
                <w:color w:val="auto"/>
              </w:rPr>
            </w:pPr>
            <w:r>
              <w:rPr>
                <w:rFonts w:ascii="Arial" w:cs="Arial" w:eastAsia="Arial" w:hAnsi="Arial"/>
                <w:sz w:val="13"/>
                <w:szCs w:val="13"/>
                <w:i w:val="1"/>
                <w:iCs w:val="1"/>
                <w:color w:val="auto"/>
              </w:rPr>
              <w:t>(millions of Canadian dollars)</w:t>
            </w:r>
          </w:p>
        </w:tc>
        <w:tc>
          <w:tcPr>
            <w:tcW w:w="10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Arial" w:cs="Arial" w:eastAsia="Arial" w:hAnsi="Arial"/>
                <w:sz w:val="14"/>
                <w:szCs w:val="14"/>
                <w:color w:val="auto"/>
              </w:rPr>
              <w:t>Balance as at January 1, 2025</w:t>
            </w:r>
          </w:p>
        </w:tc>
        <w:tc>
          <w:tcPr>
            <w:tcW w:w="10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407</w:t>
            </w:r>
          </w:p>
        </w:tc>
        <w:tc>
          <w:tcPr>
            <w:tcW w:w="12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(14)</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(2,033)</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8,452</w:t>
            </w:r>
          </w:p>
        </w:tc>
        <w:tc>
          <w:tcPr>
            <w:tcW w:w="11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w:t>
            </w:r>
          </w:p>
        </w:tc>
        <w:tc>
          <w:tcPr>
            <w:tcW w:w="12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302</w:t>
            </w: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7,115</w:t>
            </w: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Arial" w:cs="Arial" w:eastAsia="Arial" w:hAnsi="Arial"/>
                <w:sz w:val="14"/>
                <w:szCs w:val="14"/>
                <w:color w:val="auto"/>
              </w:rPr>
              <w:t>Other comprehensive income/(loss) retained in AOCI</w:t>
            </w: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(35)</w:t>
            </w:r>
          </w:p>
        </w:tc>
        <w:tc>
          <w:tcPr>
            <w:tcW w:w="12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(6)</w:t>
            </w: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(34)</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118</w:t>
            </w:r>
          </w:p>
        </w:tc>
        <w:tc>
          <w:tcPr>
            <w:tcW w:w="11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12</w:t>
            </w:r>
          </w:p>
        </w:tc>
        <w:tc>
          <w:tcPr>
            <w:tcW w:w="12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Other comprehensive (income)/loss reclassified to</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680" w:type="dxa"/>
            <w:vAlign w:val="bottom"/>
          </w:tcPr>
          <w:p>
            <w:pPr>
              <w:ind w:left="60"/>
              <w:spacing w:after="0" w:line="145" w:lineRule="exact"/>
              <w:rPr>
                <w:sz w:val="20"/>
                <w:szCs w:val="20"/>
                <w:color w:val="auto"/>
              </w:rPr>
            </w:pPr>
            <w:r>
              <w:rPr>
                <w:rFonts w:ascii="Arial" w:cs="Arial" w:eastAsia="Arial" w:hAnsi="Arial"/>
                <w:sz w:val="14"/>
                <w:szCs w:val="14"/>
                <w:color w:val="auto"/>
              </w:rPr>
              <w:t>earnings</w:t>
            </w:r>
          </w:p>
        </w:tc>
        <w:tc>
          <w:tcPr>
            <w:tcW w:w="1080" w:type="dxa"/>
            <w:vAlign w:val="bottom"/>
            <w:vMerge w:val="restart"/>
          </w:tcPr>
          <w:p>
            <w:pPr>
              <w:jc w:val="right"/>
              <w:ind w:right="208"/>
              <w:spacing w:after="0"/>
              <w:rPr>
                <w:sz w:val="20"/>
                <w:szCs w:val="20"/>
                <w:color w:val="auto"/>
              </w:rPr>
            </w:pPr>
            <w:r>
              <w:rPr>
                <w:rFonts w:ascii="Arial" w:cs="Arial" w:eastAsia="Arial" w:hAnsi="Arial"/>
                <w:sz w:val="14"/>
                <w:szCs w:val="14"/>
                <w:color w:val="auto"/>
              </w:rPr>
              <w:t>8</w:t>
            </w:r>
          </w:p>
        </w:tc>
        <w:tc>
          <w:tcPr>
            <w:tcW w:w="12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39"/>
        </w:trPr>
        <w:tc>
          <w:tcPr>
            <w:tcW w:w="3680" w:type="dxa"/>
            <w:vAlign w:val="bottom"/>
          </w:tcPr>
          <w:p>
            <w:pPr>
              <w:ind w:left="120"/>
              <w:spacing w:after="0" w:line="139" w:lineRule="exact"/>
              <w:rPr>
                <w:sz w:val="20"/>
                <w:szCs w:val="20"/>
                <w:color w:val="auto"/>
              </w:rPr>
            </w:pPr>
            <w:r>
              <w:rPr>
                <w:rFonts w:ascii="Arial" w:cs="Arial" w:eastAsia="Arial" w:hAnsi="Arial"/>
                <w:sz w:val="13"/>
                <w:szCs w:val="13"/>
                <w:color w:val="auto"/>
              </w:rPr>
              <w:t>Interest rate contracts</w:t>
            </w:r>
            <w:r>
              <w:rPr>
                <w:rFonts w:ascii="Arial" w:cs="Arial" w:eastAsia="Arial" w:hAnsi="Arial"/>
                <w:sz w:val="16"/>
                <w:szCs w:val="16"/>
                <w:color w:val="auto"/>
                <w:vertAlign w:val="superscript"/>
              </w:rPr>
              <w:t>1</w:t>
            </w:r>
          </w:p>
        </w:tc>
        <w:tc>
          <w:tcPr>
            <w:tcW w:w="108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ind w:left="120"/>
              <w:spacing w:after="0" w:line="149" w:lineRule="exact"/>
              <w:rPr>
                <w:sz w:val="20"/>
                <w:szCs w:val="20"/>
                <w:color w:val="auto"/>
              </w:rPr>
            </w:pPr>
            <w:r>
              <w:rPr>
                <w:rFonts w:ascii="Arial" w:cs="Arial" w:eastAsia="Arial" w:hAnsi="Arial"/>
                <w:sz w:val="14"/>
                <w:szCs w:val="14"/>
                <w:color w:val="auto"/>
              </w:rPr>
              <w:t>Foreign exchange contracts</w:t>
            </w:r>
            <w:r>
              <w:rPr>
                <w:rFonts w:ascii="Arial" w:cs="Arial" w:eastAsia="Arial" w:hAnsi="Arial"/>
                <w:sz w:val="17"/>
                <w:szCs w:val="17"/>
                <w:color w:val="auto"/>
                <w:vertAlign w:val="superscript"/>
              </w:rPr>
              <w:t>3</w:t>
            </w:r>
          </w:p>
        </w:tc>
        <w:tc>
          <w:tcPr>
            <w:tcW w:w="10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12</w:t>
            </w:r>
          </w:p>
        </w:tc>
        <w:tc>
          <w:tcPr>
            <w:tcW w:w="108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tcPr>
          <w:p>
            <w:pPr>
              <w:ind w:left="120"/>
              <w:spacing w:after="0" w:line="171" w:lineRule="exact"/>
              <w:rPr>
                <w:sz w:val="20"/>
                <w:szCs w:val="20"/>
                <w:color w:val="auto"/>
              </w:rPr>
            </w:pPr>
            <w:r>
              <w:rPr>
                <w:rFonts w:ascii="Arial" w:cs="Arial" w:eastAsia="Arial" w:hAnsi="Arial"/>
                <w:sz w:val="14"/>
                <w:szCs w:val="14"/>
                <w:color w:val="auto"/>
              </w:rPr>
              <w:t>Amortization of pension and OPEB actuarial gain</w:t>
            </w:r>
            <w:r>
              <w:rPr>
                <w:rFonts w:ascii="Arial" w:cs="Arial" w:eastAsia="Arial" w:hAnsi="Arial"/>
                <w:sz w:val="18"/>
                <w:szCs w:val="18"/>
                <w:color w:val="auto"/>
                <w:vertAlign w:val="superscript"/>
              </w:rPr>
              <w:t>2</w:t>
            </w: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4"/>
        </w:trPr>
        <w:tc>
          <w:tcPr>
            <w:tcW w:w="3680" w:type="dxa"/>
            <w:vAlign w:val="bottom"/>
            <w:vMerge w:val="restart"/>
          </w:tcPr>
          <w:p>
            <w:pPr>
              <w:spacing w:after="0"/>
              <w:rPr>
                <w:sz w:val="20"/>
                <w:szCs w:val="20"/>
                <w:color w:val="auto"/>
              </w:rPr>
            </w:pPr>
            <w:r>
              <w:rPr>
                <w:rFonts w:ascii="Arial" w:cs="Arial" w:eastAsia="Arial" w:hAnsi="Arial"/>
                <w:sz w:val="14"/>
                <w:szCs w:val="14"/>
                <w:color w:val="auto"/>
              </w:rPr>
              <w:t>Tax impact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(27)</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(34)</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118</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(9)</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84"/>
        </w:trPr>
        <w:tc>
          <w:tcPr>
            <w:tcW w:w="3680" w:type="dxa"/>
            <w:vAlign w:val="bottom"/>
            <w:vMerge w:val="continue"/>
          </w:tcPr>
          <w:p>
            <w:pPr>
              <w:spacing w:after="0"/>
              <w:rPr>
                <w:sz w:val="7"/>
                <w:szCs w:val="7"/>
                <w:color w:val="auto"/>
              </w:rPr>
            </w:pPr>
          </w:p>
        </w:tc>
        <w:tc>
          <w:tcPr>
            <w:tcW w:w="1080" w:type="dxa"/>
            <w:vAlign w:val="bottom"/>
            <w:vMerge w:val="restart"/>
          </w:tcPr>
          <w:p>
            <w:pPr>
              <w:jc w:val="right"/>
              <w:ind w:right="208"/>
              <w:spacing w:after="0"/>
              <w:rPr>
                <w:sz w:val="20"/>
                <w:szCs w:val="20"/>
                <w:color w:val="auto"/>
              </w:rPr>
            </w:pPr>
            <w:r>
              <w:rPr>
                <w:rFonts w:ascii="Arial" w:cs="Arial" w:eastAsia="Arial" w:hAnsi="Arial"/>
                <w:sz w:val="14"/>
                <w:szCs w:val="14"/>
                <w:color w:val="auto"/>
              </w:rPr>
              <w:t>9</w:t>
            </w:r>
          </w:p>
        </w:tc>
        <w:tc>
          <w:tcPr>
            <w:tcW w:w="1260" w:type="dxa"/>
            <w:vAlign w:val="bottom"/>
            <w:vMerge w:val="restart"/>
          </w:tcPr>
          <w:p>
            <w:pPr>
              <w:jc w:val="right"/>
              <w:ind w:right="128"/>
              <w:spacing w:after="0"/>
              <w:rPr>
                <w:sz w:val="20"/>
                <w:szCs w:val="20"/>
                <w:color w:val="auto"/>
              </w:rPr>
            </w:pPr>
            <w:r>
              <w:rPr>
                <w:rFonts w:ascii="Arial" w:cs="Arial" w:eastAsia="Arial" w:hAnsi="Arial"/>
                <w:sz w:val="14"/>
                <w:szCs w:val="14"/>
                <w:color w:val="auto"/>
              </w:rPr>
              <w:t>1</w:t>
            </w:r>
          </w:p>
        </w:tc>
        <w:tc>
          <w:tcPr>
            <w:tcW w:w="108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3680" w:type="dxa"/>
            <w:vAlign w:val="bottom"/>
          </w:tcPr>
          <w:p>
            <w:pPr>
              <w:ind w:left="120"/>
              <w:spacing w:after="0" w:line="149" w:lineRule="exact"/>
              <w:rPr>
                <w:sz w:val="20"/>
                <w:szCs w:val="20"/>
                <w:color w:val="auto"/>
              </w:rPr>
            </w:pPr>
            <w:r>
              <w:rPr>
                <w:rFonts w:ascii="Arial" w:cs="Arial" w:eastAsia="Arial" w:hAnsi="Arial"/>
                <w:sz w:val="14"/>
                <w:szCs w:val="14"/>
                <w:color w:val="auto"/>
              </w:rPr>
              <w:t>Income tax on amounts retained in AOCI</w:t>
            </w:r>
          </w:p>
        </w:tc>
        <w:tc>
          <w:tcPr>
            <w:tcW w:w="108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Income tax on amounts reclassified to earnings</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2"/>
        </w:trPr>
        <w:tc>
          <w:tcPr>
            <w:tcW w:w="36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7</w:t>
            </w:r>
          </w:p>
        </w:tc>
        <w:tc>
          <w:tcPr>
            <w:tcW w:w="12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(2)</w:t>
            </w:r>
          </w:p>
        </w:tc>
        <w:tc>
          <w:tcPr>
            <w:tcW w:w="108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2</w:t>
            </w:r>
          </w:p>
        </w:tc>
        <w:tc>
          <w:tcPr>
            <w:tcW w:w="7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2"/>
        </w:trPr>
        <w:tc>
          <w:tcPr>
            <w:tcW w:w="36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Balance as at March 31, 2025</w:t>
            </w:r>
          </w:p>
        </w:tc>
        <w:tc>
          <w:tcPr>
            <w:tcW w:w="108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387</w:t>
            </w:r>
          </w:p>
        </w:tc>
        <w:tc>
          <w:tcPr>
            <w:tcW w:w="12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(10)</w:t>
            </w:r>
          </w:p>
        </w:tc>
        <w:tc>
          <w:tcPr>
            <w:tcW w:w="10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(2,067)</w:t>
            </w:r>
          </w:p>
        </w:tc>
        <w:tc>
          <w:tcPr>
            <w:tcW w:w="10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8,570</w:t>
            </w:r>
          </w:p>
        </w:tc>
        <w:tc>
          <w:tcPr>
            <w:tcW w:w="116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13</w:t>
            </w:r>
          </w:p>
        </w:tc>
        <w:tc>
          <w:tcPr>
            <w:tcW w:w="122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295</w:t>
            </w:r>
          </w:p>
        </w:tc>
        <w:tc>
          <w:tcPr>
            <w:tcW w:w="7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7,188</w:t>
            </w:r>
          </w:p>
        </w:tc>
        <w:tc>
          <w:tcPr>
            <w:tcW w:w="0" w:type="dxa"/>
            <w:vAlign w:val="bottom"/>
          </w:tcPr>
          <w:p>
            <w:pPr>
              <w:spacing w:after="0"/>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Reported within Interest expense in the Consolidated Statements of Earnings.</w:t>
      </w:r>
    </w:p>
    <w:p>
      <w:pPr>
        <w:spacing w:after="0" w:line="1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These components are included in the computation of net periodic benefit credit and are reported within Other income/(expense) in the Consolidated Statements of Earnings.</w:t>
      </w:r>
    </w:p>
    <w:p>
      <w:pPr>
        <w:spacing w:after="0" w:line="1" w:lineRule="exact"/>
        <w:rPr>
          <w:rFonts w:ascii="Arial" w:cs="Arial" w:eastAsia="Arial" w:hAnsi="Arial"/>
          <w:sz w:val="14"/>
          <w:szCs w:val="14"/>
          <w:i w:val="1"/>
          <w:iCs w:val="1"/>
          <w:color w:val="auto"/>
        </w:rPr>
      </w:pPr>
    </w:p>
    <w:p>
      <w:pPr>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3  Reported within Interest expense and Other income/(expense) in the Consolidated Statements of Earnings.</w:t>
      </w:r>
    </w:p>
    <w:p>
      <w:pPr>
        <w:spacing w:after="0" w:line="13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8. RISK MANAGEMENT AND FINANCIAL INSTRUMENTS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4"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Our earnings, cash flows and other comprehensive income/(loss) (OCI) are subject to movements in foreign exchange rates, interest rates, commodity prices and our share price (collectively, market risks). Formal risk management policies, processes and systems have been designed to mitigate these risks.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types of market risks to which we are exposed and the risk management instruments used to mitigate them.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use a combination of qualifying and non-qualifying derivative instruments to manage the risks noted below.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8" w:name="page19"/>
    <w:bookmarkEnd w:id="18"/>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generate certain revenues, incur expenses and hold a number of investments and subsidiaries that are denominated in currencies other than Canadian dollars. As a result, our earnings, cash flows and OCI are exposed to fluctuations resulting from foreign exchange rate variability.</w:t>
      </w:r>
    </w:p>
    <w:p>
      <w:pPr>
        <w:spacing w:after="0" w:line="17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employ financial derivative instruments to hedge foreign currency-denominated earnings exposure. A combination of qualifying and non-qualifying derivative instruments is used to hedge anticipated foreign currency-denominated revenues and expenses and to manage variability in cash flows. We hedge certain net investments in US dollar-denominated investments and subsidiaries using US dollar-denominated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earnings, and cash flows are exposed to short-term interest rate variability due to the regular repricing of our variable rate debt, primarily commercial paper. We have a policy of limiting the maximum floating rate debt to 30% of total debt outstanding. We monitor and adjust our debt portfolio mix of fixed and variable rate debt instruments along with the use of derivative instruments, to support compliance with our policy. We have implemented a program to partially mitigate the impact of short-term interest rate volatility on interest expense via the execution of floating-to-fixed interest rate swaps and costless collars. These swaps have an average fixed rate of 3.0%.</w:t>
      </w:r>
    </w:p>
    <w:p>
      <w:pPr>
        <w:spacing w:after="0" w:line="180"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We are exposed to changes in the fair value of fixed rate debt that arise as a result of changes in market interest rates. Pay floating-receive fixed interest rate swaps are used, when applicable, to hedge against future changes to the fair value of fixed rate debt which mitigates the impact of fluctuations in fair value. Executed fixed-to-floating interest rate swaps have an average swap rate of 3.4%.</w:t>
      </w:r>
    </w:p>
    <w:p>
      <w:pPr>
        <w:spacing w:after="0" w:line="16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Our earnings, cash flows and OCI are also exposed to variability in longer term interest rates ahead of anticipated fixed rate term debt issuances. A combination of qualifying and non-qualifying forward starting interest rate swaps are used to hedge against the effect of future interest rate movements. We have established a program including some of our subsidiaries to partially mitigate our exposure to long-term interest rate variability on forecasted term debt issuances via execution of floating-to-fixed interest rate swaps with an average swap rate of 3.6%.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4"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Our earnings, cash flows and OCI are exposed to changes in commodity prices as a result of our ownership interests in certain assets and investments, as well as through the activities of our energy marketing subsidiaries. These commodities include natural gas, crude oil, power and natural gas liquids (NGL). We employ financial and physical derivative instruments to fix a portion of the variable price exposures that arise from physical transactions involving these commodities. For our US Gas Utilities, changes in derivatives' fair values are deferred as regulatory assets or liabilities until settlement. We use primarily non-qualifying derivative instruments to manage commodity price risk.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Equity price risk is the risk of earnings fluctuations due to changes in our share price. We have exposure to our own common share price through the issuance of various forms of stock-based compensation, which affect earnings through the revaluation of outstanding units every period.</w:t>
      </w:r>
    </w:p>
    <w:p>
      <w:pPr>
        <w:spacing w:after="0"/>
        <w:rPr>
          <w:sz w:val="20"/>
          <w:szCs w:val="20"/>
          <w:color w:val="auto"/>
        </w:rPr>
      </w:pPr>
      <w:r>
        <w:rPr>
          <w:rFonts w:ascii="Arial" w:cs="Arial" w:eastAsia="Arial" w:hAnsi="Arial"/>
          <w:sz w:val="18"/>
          <w:szCs w:val="18"/>
          <w:b w:val="1"/>
          <w:bCs w:val="1"/>
          <w:color w:val="auto"/>
        </w:rPr>
        <w:t>TOTAL DERIVATIVE INSTRUMENTS</w:t>
      </w:r>
    </w:p>
    <w:p>
      <w:pPr>
        <w:spacing w:after="0" w:line="9"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We have a policy of entering into individual International Swaps and Derivatives Association, Inc. (ISDA) agreements, or other similar derivative agreements, with the majority of our financial derivative counterparties. These agreements provide for the net settlement of derivative instruments outstanding with specific counterparties in the event of bankruptcy or other significant credit events and reduce our credit risk exposure on financial derivative asset positions in those circumstances.</w:t>
      </w:r>
    </w:p>
    <w:p>
      <w:pPr>
        <w:spacing w:after="0" w:line="18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following tables summarize the Consolidated Statements of Financial Position location and carrying value of our derivative instruments, as well as the maximum potential settlement amounts, in the event of the specific circumstances described above.</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9" w:name="page20"/>
    <w:bookmarkEnd w:id="19"/>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Derivative</w:t>
            </w:r>
          </w:p>
        </w:tc>
        <w:tc>
          <w:tcPr>
            <w:tcW w:w="12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Derivative</w:t>
            </w:r>
          </w:p>
        </w:tc>
        <w:tc>
          <w:tcPr>
            <w:tcW w:w="1440" w:type="dxa"/>
            <w:vAlign w:val="bottom"/>
            <w:vMerge w:val="restart"/>
          </w:tcPr>
          <w:p>
            <w:pPr>
              <w:jc w:val="right"/>
              <w:ind w:right="188"/>
              <w:spacing w:after="0"/>
              <w:rPr>
                <w:sz w:val="20"/>
                <w:szCs w:val="20"/>
                <w:color w:val="auto"/>
              </w:rPr>
            </w:pPr>
            <w:r>
              <w:rPr>
                <w:rFonts w:ascii="Arial" w:cs="Arial" w:eastAsia="Arial" w:hAnsi="Arial"/>
                <w:sz w:val="14"/>
                <w:szCs w:val="14"/>
                <w:color w:val="auto"/>
              </w:rPr>
              <w:t>Non-</w:t>
            </w:r>
          </w:p>
        </w:tc>
        <w:tc>
          <w:tcPr>
            <w:tcW w:w="1440" w:type="dxa"/>
            <w:vAlign w:val="bottom"/>
            <w:vMerge w:val="restart"/>
          </w:tcPr>
          <w:p>
            <w:pPr>
              <w:jc w:val="right"/>
              <w:ind w:right="328"/>
              <w:spacing w:after="0"/>
              <w:rPr>
                <w:sz w:val="20"/>
                <w:szCs w:val="20"/>
                <w:color w:val="auto"/>
              </w:rPr>
            </w:pPr>
            <w:r>
              <w:rPr>
                <w:rFonts w:ascii="Arial" w:cs="Arial" w:eastAsia="Arial" w:hAnsi="Arial"/>
                <w:sz w:val="14"/>
                <w:szCs w:val="14"/>
                <w:color w:val="auto"/>
              </w:rPr>
              <w:t>Total Gross</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3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Instruments Used</w:t>
            </w:r>
          </w:p>
        </w:tc>
        <w:tc>
          <w:tcPr>
            <w:tcW w:w="120" w:type="dxa"/>
            <w:vAlign w:val="bottom"/>
          </w:tcPr>
          <w:p>
            <w:pPr>
              <w:spacing w:after="0"/>
              <w:rPr>
                <w:sz w:val="12"/>
                <w:szCs w:val="12"/>
                <w:color w:val="auto"/>
              </w:rPr>
            </w:pPr>
          </w:p>
        </w:tc>
        <w:tc>
          <w:tcPr>
            <w:tcW w:w="11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Instruments</w:t>
            </w:r>
          </w:p>
        </w:tc>
        <w:tc>
          <w:tcPr>
            <w:tcW w:w="14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260" w:type="dxa"/>
            <w:vAlign w:val="bottom"/>
            <w:vMerge w:val="restart"/>
          </w:tcPr>
          <w:p>
            <w:pPr>
              <w:jc w:val="right"/>
              <w:ind w:right="268"/>
              <w:spacing w:after="0"/>
              <w:rPr>
                <w:sz w:val="20"/>
                <w:szCs w:val="20"/>
                <w:color w:val="auto"/>
              </w:rPr>
            </w:pPr>
            <w:r>
              <w:rPr>
                <w:rFonts w:ascii="Arial" w:cs="Arial" w:eastAsia="Arial" w:hAnsi="Arial"/>
                <w:sz w:val="14"/>
                <w:szCs w:val="14"/>
                <w:color w:val="auto"/>
              </w:rPr>
              <w:t>Amounts</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Total Net</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as</w:t>
            </w:r>
          </w:p>
        </w:tc>
        <w:tc>
          <w:tcPr>
            <w:tcW w:w="120" w:type="dxa"/>
            <w:vAlign w:val="bottom"/>
          </w:tcPr>
          <w:p>
            <w:pPr>
              <w:spacing w:after="0"/>
              <w:rPr>
                <w:sz w:val="12"/>
                <w:szCs w:val="12"/>
                <w:color w:val="auto"/>
              </w:rPr>
            </w:pPr>
          </w:p>
        </w:tc>
        <w:tc>
          <w:tcPr>
            <w:tcW w:w="11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Used as</w:t>
            </w:r>
          </w:p>
        </w:tc>
        <w:tc>
          <w:tcPr>
            <w:tcW w:w="14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Qualifying</w:t>
            </w:r>
          </w:p>
        </w:tc>
        <w:tc>
          <w:tcPr>
            <w:tcW w:w="144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Derivative</w:t>
            </w:r>
          </w:p>
        </w:tc>
        <w:tc>
          <w:tcPr>
            <w:tcW w:w="126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March 31, 2026</w:t>
            </w:r>
          </w:p>
        </w:tc>
        <w:tc>
          <w:tcPr>
            <w:tcW w:w="120" w:type="dxa"/>
            <w:vAlign w:val="bottom"/>
          </w:tcPr>
          <w:p>
            <w:pPr>
              <w:spacing w:after="0"/>
              <w:rPr>
                <w:sz w:val="12"/>
                <w:szCs w:val="12"/>
                <w:color w:val="auto"/>
              </w:rPr>
            </w:pPr>
          </w:p>
        </w:tc>
        <w:tc>
          <w:tcPr>
            <w:tcW w:w="11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Cash Flow</w:t>
            </w:r>
          </w:p>
        </w:tc>
        <w:tc>
          <w:tcPr>
            <w:tcW w:w="120" w:type="dxa"/>
            <w:vAlign w:val="bottom"/>
          </w:tcPr>
          <w:p>
            <w:pPr>
              <w:spacing w:after="0"/>
              <w:rPr>
                <w:sz w:val="12"/>
                <w:szCs w:val="12"/>
                <w:color w:val="auto"/>
              </w:rPr>
            </w:pPr>
          </w:p>
        </w:tc>
        <w:tc>
          <w:tcPr>
            <w:tcW w:w="11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Fair Value</w:t>
            </w:r>
          </w:p>
        </w:tc>
        <w:tc>
          <w:tcPr>
            <w:tcW w:w="14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Derivative</w:t>
            </w:r>
          </w:p>
        </w:tc>
        <w:tc>
          <w:tcPr>
            <w:tcW w:w="144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Instruments</w:t>
            </w:r>
          </w:p>
        </w:tc>
        <w:tc>
          <w:tcPr>
            <w:tcW w:w="12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Available</w:t>
            </w:r>
          </w:p>
        </w:tc>
        <w:tc>
          <w:tcPr>
            <w:tcW w:w="11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Derivative</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Hedges</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Hedges</w:t>
            </w: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Instruments</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as Presented</w:t>
            </w:r>
          </w:p>
        </w:tc>
        <w:tc>
          <w:tcPr>
            <w:tcW w:w="12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for Offset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Instruments</w:t>
            </w:r>
          </w:p>
        </w:tc>
        <w:tc>
          <w:tcPr>
            <w:tcW w:w="0" w:type="dxa"/>
            <w:vAlign w:val="bottom"/>
          </w:tcPr>
          <w:p>
            <w:pPr>
              <w:spacing w:after="0"/>
              <w:rPr>
                <w:sz w:val="1"/>
                <w:szCs w:val="1"/>
                <w:color w:val="auto"/>
              </w:rPr>
            </w:pPr>
          </w:p>
        </w:tc>
      </w:tr>
      <w:tr>
        <w:trPr>
          <w:trHeight w:val="119"/>
        </w:trPr>
        <w:tc>
          <w:tcPr>
            <w:tcW w:w="3360" w:type="dxa"/>
            <w:vAlign w:val="bottom"/>
          </w:tcPr>
          <w:p>
            <w:pPr>
              <w:spacing w:after="0" w:line="119" w:lineRule="exact"/>
              <w:rPr>
                <w:sz w:val="20"/>
                <w:szCs w:val="20"/>
                <w:color w:val="auto"/>
              </w:rPr>
            </w:pPr>
            <w:r>
              <w:rPr>
                <w:rFonts w:ascii="Arial" w:cs="Arial" w:eastAsia="Arial" w:hAnsi="Arial"/>
                <w:sz w:val="13"/>
                <w:szCs w:val="13"/>
                <w:i w:val="1"/>
                <w:iCs w:val="1"/>
                <w:color w:val="auto"/>
              </w:rPr>
              <w:t>(millions of Canadian dollars)</w:t>
            </w:r>
          </w:p>
        </w:tc>
        <w:tc>
          <w:tcPr>
            <w:tcW w:w="120" w:type="dxa"/>
            <w:vAlign w:val="bottom"/>
            <w:shd w:val="clear" w:color="auto" w:fill="DDDDDD"/>
          </w:tcPr>
          <w:p>
            <w:pPr>
              <w:spacing w:after="0"/>
              <w:rPr>
                <w:sz w:val="10"/>
                <w:szCs w:val="10"/>
                <w:color w:val="auto"/>
              </w:rPr>
            </w:pPr>
          </w:p>
        </w:tc>
        <w:tc>
          <w:tcPr>
            <w:tcW w:w="1180" w:type="dxa"/>
            <w:vAlign w:val="bottom"/>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1180" w:type="dxa"/>
            <w:vAlign w:val="bottom"/>
            <w:shd w:val="clear" w:color="auto" w:fill="DDDDDD"/>
          </w:tcPr>
          <w:p>
            <w:pPr>
              <w:spacing w:after="0"/>
              <w:rPr>
                <w:sz w:val="10"/>
                <w:szCs w:val="10"/>
                <w:color w:val="auto"/>
              </w:rPr>
            </w:pPr>
          </w:p>
        </w:tc>
        <w:tc>
          <w:tcPr>
            <w:tcW w:w="1440" w:type="dxa"/>
            <w:vAlign w:val="bottom"/>
            <w:shd w:val="clear" w:color="auto" w:fill="DDDDDD"/>
          </w:tcPr>
          <w:p>
            <w:pPr>
              <w:spacing w:after="0"/>
              <w:rPr>
                <w:sz w:val="10"/>
                <w:szCs w:val="10"/>
                <w:color w:val="auto"/>
              </w:rPr>
            </w:pPr>
          </w:p>
        </w:tc>
        <w:tc>
          <w:tcPr>
            <w:tcW w:w="1440" w:type="dxa"/>
            <w:vAlign w:val="bottom"/>
            <w:shd w:val="clear" w:color="auto" w:fill="DDDDDD"/>
          </w:tcPr>
          <w:p>
            <w:pPr>
              <w:spacing w:after="0"/>
              <w:rPr>
                <w:sz w:val="10"/>
                <w:szCs w:val="10"/>
                <w:color w:val="auto"/>
              </w:rPr>
            </w:pPr>
          </w:p>
        </w:tc>
        <w:tc>
          <w:tcPr>
            <w:tcW w:w="1260" w:type="dxa"/>
            <w:vAlign w:val="bottom"/>
            <w:shd w:val="clear" w:color="auto" w:fill="DDDDDD"/>
          </w:tcPr>
          <w:p>
            <w:pPr>
              <w:spacing w:after="0"/>
              <w:rPr>
                <w:sz w:val="10"/>
                <w:szCs w:val="10"/>
                <w:color w:val="auto"/>
              </w:rPr>
            </w:pPr>
          </w:p>
        </w:tc>
        <w:tc>
          <w:tcPr>
            <w:tcW w:w="1140" w:type="dxa"/>
            <w:vAlign w:val="bottom"/>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4"/>
                <w:szCs w:val="14"/>
                <w:color w:val="auto"/>
              </w:rPr>
              <w:t>Other current assets</w:t>
            </w:r>
          </w:p>
        </w:tc>
        <w:tc>
          <w:tcPr>
            <w:tcW w:w="120" w:type="dxa"/>
            <w:vAlign w:val="bottom"/>
            <w:shd w:val="clear" w:color="auto" w:fill="DDDDDD"/>
          </w:tcPr>
          <w:p>
            <w:pPr>
              <w:spacing w:after="0"/>
              <w:rPr>
                <w:sz w:val="12"/>
                <w:szCs w:val="12"/>
                <w:color w:val="auto"/>
              </w:rPr>
            </w:pPr>
          </w:p>
        </w:tc>
        <w:tc>
          <w:tcPr>
            <w:tcW w:w="118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1180" w:type="dxa"/>
            <w:vAlign w:val="bottom"/>
            <w:shd w:val="clear" w:color="auto" w:fill="DDDDDD"/>
          </w:tcPr>
          <w:p>
            <w:pPr>
              <w:spacing w:after="0"/>
              <w:rPr>
                <w:sz w:val="12"/>
                <w:szCs w:val="12"/>
                <w:color w:val="auto"/>
              </w:rPr>
            </w:pPr>
          </w:p>
        </w:tc>
        <w:tc>
          <w:tcPr>
            <w:tcW w:w="1440" w:type="dxa"/>
            <w:vAlign w:val="bottom"/>
            <w:shd w:val="clear" w:color="auto" w:fill="DDDDDD"/>
          </w:tcPr>
          <w:p>
            <w:pPr>
              <w:spacing w:after="0"/>
              <w:rPr>
                <w:sz w:val="12"/>
                <w:szCs w:val="12"/>
                <w:color w:val="auto"/>
              </w:rPr>
            </w:pPr>
          </w:p>
        </w:tc>
        <w:tc>
          <w:tcPr>
            <w:tcW w:w="1440" w:type="dxa"/>
            <w:vAlign w:val="bottom"/>
            <w:shd w:val="clear" w:color="auto" w:fill="DDDDDD"/>
          </w:tcPr>
          <w:p>
            <w:pPr>
              <w:spacing w:after="0"/>
              <w:rPr>
                <w:sz w:val="12"/>
                <w:szCs w:val="12"/>
                <w:color w:val="auto"/>
              </w:rPr>
            </w:pPr>
          </w:p>
        </w:tc>
        <w:tc>
          <w:tcPr>
            <w:tcW w:w="1260" w:type="dxa"/>
            <w:vAlign w:val="bottom"/>
            <w:shd w:val="clear" w:color="auto" w:fill="DDDDDD"/>
          </w:tcPr>
          <w:p>
            <w:pPr>
              <w:spacing w:after="0"/>
              <w:rPr>
                <w:sz w:val="12"/>
                <w:szCs w:val="12"/>
                <w:color w:val="auto"/>
              </w:rPr>
            </w:pPr>
          </w:p>
        </w:tc>
        <w:tc>
          <w:tcPr>
            <w:tcW w:w="1140" w:type="dxa"/>
            <w:vAlign w:val="bottom"/>
            <w:shd w:val="clear" w:color="auto" w:fill="DDDDD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80"/>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shd w:val="clear" w:color="auto" w:fill="DDDDDD"/>
          </w:tcPr>
          <w:p>
            <w:pPr>
              <w:spacing w:after="0"/>
              <w:rPr>
                <w:sz w:val="12"/>
                <w:szCs w:val="12"/>
                <w:color w:val="auto"/>
              </w:rPr>
            </w:pPr>
          </w:p>
        </w:tc>
        <w:tc>
          <w:tcPr>
            <w:tcW w:w="118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DDDDDD"/>
          </w:tcPr>
          <w:p>
            <w:pPr>
              <w:spacing w:after="0"/>
              <w:rPr>
                <w:sz w:val="12"/>
                <w:szCs w:val="12"/>
                <w:color w:val="auto"/>
              </w:rPr>
            </w:pPr>
          </w:p>
        </w:tc>
        <w:tc>
          <w:tcPr>
            <w:tcW w:w="118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DDDDDD"/>
          </w:tcPr>
          <w:p>
            <w:pPr>
              <w:jc w:val="right"/>
              <w:ind w:right="188"/>
              <w:spacing w:after="0" w:line="149" w:lineRule="exact"/>
              <w:rPr>
                <w:sz w:val="20"/>
                <w:szCs w:val="20"/>
                <w:color w:val="auto"/>
              </w:rPr>
            </w:pPr>
            <w:r>
              <w:rPr>
                <w:rFonts w:ascii="Arial" w:cs="Arial" w:eastAsia="Arial" w:hAnsi="Arial"/>
                <w:sz w:val="14"/>
                <w:szCs w:val="14"/>
                <w:b w:val="1"/>
                <w:bCs w:val="1"/>
                <w:color w:val="auto"/>
              </w:rPr>
              <w:t>30</w:t>
            </w:r>
          </w:p>
        </w:tc>
        <w:tc>
          <w:tcPr>
            <w:tcW w:w="1440" w:type="dxa"/>
            <w:vAlign w:val="bottom"/>
            <w:shd w:val="clear" w:color="auto" w:fill="DDDDDD"/>
          </w:tcPr>
          <w:p>
            <w:pPr>
              <w:jc w:val="right"/>
              <w:ind w:right="328"/>
              <w:spacing w:after="0" w:line="149" w:lineRule="exact"/>
              <w:rPr>
                <w:sz w:val="20"/>
                <w:szCs w:val="20"/>
                <w:color w:val="auto"/>
              </w:rPr>
            </w:pPr>
            <w:r>
              <w:rPr>
                <w:rFonts w:ascii="Arial" w:cs="Arial" w:eastAsia="Arial" w:hAnsi="Arial"/>
                <w:sz w:val="14"/>
                <w:szCs w:val="14"/>
                <w:b w:val="1"/>
                <w:bCs w:val="1"/>
                <w:color w:val="auto"/>
              </w:rPr>
              <w:t>30</w:t>
            </w:r>
          </w:p>
        </w:tc>
        <w:tc>
          <w:tcPr>
            <w:tcW w:w="1260" w:type="dxa"/>
            <w:vAlign w:val="bottom"/>
            <w:shd w:val="clear" w:color="auto" w:fill="DDDDDD"/>
          </w:tcPr>
          <w:p>
            <w:pPr>
              <w:jc w:val="right"/>
              <w:ind w:right="208"/>
              <w:spacing w:after="0" w:line="149" w:lineRule="exact"/>
              <w:rPr>
                <w:sz w:val="20"/>
                <w:szCs w:val="20"/>
                <w:color w:val="auto"/>
              </w:rPr>
            </w:pPr>
            <w:r>
              <w:rPr>
                <w:rFonts w:ascii="Arial" w:cs="Arial" w:eastAsia="Arial" w:hAnsi="Arial"/>
                <w:sz w:val="14"/>
                <w:szCs w:val="14"/>
                <w:b w:val="1"/>
                <w:bCs w:val="1"/>
                <w:color w:val="auto"/>
              </w:rPr>
              <w:t>(16)</w:t>
            </w:r>
          </w:p>
        </w:tc>
        <w:tc>
          <w:tcPr>
            <w:tcW w:w="114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48"/>
        </w:trPr>
        <w:tc>
          <w:tcPr>
            <w:tcW w:w="3360" w:type="dxa"/>
            <w:vAlign w:val="bottom"/>
          </w:tcPr>
          <w:p>
            <w:pPr>
              <w:ind w:left="80"/>
              <w:spacing w:after="0" w:line="149" w:lineRule="exact"/>
              <w:rPr>
                <w:sz w:val="20"/>
                <w:szCs w:val="20"/>
                <w:color w:val="auto"/>
              </w:rPr>
            </w:pPr>
            <w:r>
              <w:rPr>
                <w:rFonts w:ascii="Arial" w:cs="Arial" w:eastAsia="Arial" w:hAnsi="Arial"/>
                <w:sz w:val="14"/>
                <w:szCs w:val="14"/>
                <w:color w:val="auto"/>
              </w:rPr>
              <w:t>Interest rate contracts</w:t>
            </w:r>
          </w:p>
        </w:tc>
        <w:tc>
          <w:tcPr>
            <w:tcW w:w="120" w:type="dxa"/>
            <w:vAlign w:val="bottom"/>
            <w:shd w:val="clear" w:color="auto" w:fill="DDDDDD"/>
          </w:tcPr>
          <w:p>
            <w:pPr>
              <w:spacing w:after="0"/>
              <w:rPr>
                <w:sz w:val="12"/>
                <w:szCs w:val="12"/>
                <w:color w:val="auto"/>
              </w:rPr>
            </w:pPr>
          </w:p>
        </w:tc>
        <w:tc>
          <w:tcPr>
            <w:tcW w:w="118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36</w:t>
            </w:r>
          </w:p>
        </w:tc>
        <w:tc>
          <w:tcPr>
            <w:tcW w:w="120" w:type="dxa"/>
            <w:vAlign w:val="bottom"/>
            <w:shd w:val="clear" w:color="auto" w:fill="DDDDDD"/>
          </w:tcPr>
          <w:p>
            <w:pPr>
              <w:spacing w:after="0"/>
              <w:rPr>
                <w:sz w:val="12"/>
                <w:szCs w:val="12"/>
                <w:color w:val="auto"/>
              </w:rPr>
            </w:pPr>
          </w:p>
        </w:tc>
        <w:tc>
          <w:tcPr>
            <w:tcW w:w="118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17</w:t>
            </w:r>
          </w:p>
        </w:tc>
        <w:tc>
          <w:tcPr>
            <w:tcW w:w="1440" w:type="dxa"/>
            <w:vAlign w:val="bottom"/>
            <w:shd w:val="clear" w:color="auto" w:fill="DDDDDD"/>
          </w:tcPr>
          <w:p>
            <w:pPr>
              <w:jc w:val="right"/>
              <w:ind w:right="188"/>
              <w:spacing w:after="0" w:line="149" w:lineRule="exact"/>
              <w:rPr>
                <w:sz w:val="20"/>
                <w:szCs w:val="20"/>
                <w:color w:val="auto"/>
              </w:rPr>
            </w:pPr>
            <w:r>
              <w:rPr>
                <w:rFonts w:ascii="Arial" w:cs="Arial" w:eastAsia="Arial" w:hAnsi="Arial"/>
                <w:sz w:val="14"/>
                <w:szCs w:val="14"/>
                <w:b w:val="1"/>
                <w:bCs w:val="1"/>
                <w:color w:val="auto"/>
              </w:rPr>
              <w:t>18</w:t>
            </w:r>
          </w:p>
        </w:tc>
        <w:tc>
          <w:tcPr>
            <w:tcW w:w="1440" w:type="dxa"/>
            <w:vAlign w:val="bottom"/>
            <w:shd w:val="clear" w:color="auto" w:fill="DDDDDD"/>
          </w:tcPr>
          <w:p>
            <w:pPr>
              <w:jc w:val="right"/>
              <w:ind w:right="328"/>
              <w:spacing w:after="0" w:line="149" w:lineRule="exact"/>
              <w:rPr>
                <w:sz w:val="20"/>
                <w:szCs w:val="20"/>
                <w:color w:val="auto"/>
              </w:rPr>
            </w:pPr>
            <w:r>
              <w:rPr>
                <w:rFonts w:ascii="Arial" w:cs="Arial" w:eastAsia="Arial" w:hAnsi="Arial"/>
                <w:sz w:val="14"/>
                <w:szCs w:val="14"/>
                <w:b w:val="1"/>
                <w:bCs w:val="1"/>
                <w:color w:val="auto"/>
              </w:rPr>
              <w:t>71</w:t>
            </w:r>
          </w:p>
        </w:tc>
        <w:tc>
          <w:tcPr>
            <w:tcW w:w="1260" w:type="dxa"/>
            <w:vAlign w:val="bottom"/>
            <w:shd w:val="clear" w:color="auto" w:fill="DDDDDD"/>
          </w:tcPr>
          <w:p>
            <w:pPr>
              <w:jc w:val="right"/>
              <w:ind w:right="208"/>
              <w:spacing w:after="0" w:line="149" w:lineRule="exact"/>
              <w:rPr>
                <w:sz w:val="20"/>
                <w:szCs w:val="20"/>
                <w:color w:val="auto"/>
              </w:rPr>
            </w:pPr>
            <w:r>
              <w:rPr>
                <w:rFonts w:ascii="Arial" w:cs="Arial" w:eastAsia="Arial" w:hAnsi="Arial"/>
                <w:sz w:val="14"/>
                <w:szCs w:val="14"/>
                <w:b w:val="1"/>
                <w:bCs w:val="1"/>
                <w:color w:val="auto"/>
              </w:rPr>
              <w:t>(22)</w:t>
            </w:r>
          </w:p>
        </w:tc>
        <w:tc>
          <w:tcPr>
            <w:tcW w:w="114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Commodity contracts</w:t>
            </w:r>
          </w:p>
        </w:tc>
        <w:tc>
          <w:tcPr>
            <w:tcW w:w="120" w:type="dxa"/>
            <w:vAlign w:val="bottom"/>
            <w:tcBorders>
              <w:bottom w:val="single" w:sz="8" w:color="auto"/>
            </w:tcBorders>
            <w:shd w:val="clear" w:color="auto" w:fill="DDDDDD"/>
          </w:tcPr>
          <w:p>
            <w:pPr>
              <w:spacing w:after="0"/>
              <w:rPr>
                <w:sz w:val="14"/>
                <w:szCs w:val="14"/>
                <w:color w:val="auto"/>
              </w:rPr>
            </w:pPr>
          </w:p>
        </w:tc>
        <w:tc>
          <w:tcPr>
            <w:tcW w:w="118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DDDDDD"/>
          </w:tcPr>
          <w:p>
            <w:pPr>
              <w:spacing w:after="0"/>
              <w:rPr>
                <w:sz w:val="14"/>
                <w:szCs w:val="14"/>
                <w:color w:val="auto"/>
              </w:rPr>
            </w:pPr>
          </w:p>
        </w:tc>
        <w:tc>
          <w:tcPr>
            <w:tcW w:w="118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DDDDDD"/>
          </w:tcPr>
          <w:p>
            <w:pPr>
              <w:jc w:val="right"/>
              <w:ind w:right="188"/>
              <w:spacing w:after="0"/>
              <w:rPr>
                <w:sz w:val="20"/>
                <w:szCs w:val="20"/>
                <w:color w:val="auto"/>
              </w:rPr>
            </w:pPr>
            <w:r>
              <w:rPr>
                <w:rFonts w:ascii="Arial" w:cs="Arial" w:eastAsia="Arial" w:hAnsi="Arial"/>
                <w:sz w:val="14"/>
                <w:szCs w:val="14"/>
                <w:b w:val="1"/>
                <w:bCs w:val="1"/>
                <w:color w:val="auto"/>
              </w:rPr>
              <w:t>1,497</w:t>
            </w:r>
          </w:p>
        </w:tc>
        <w:tc>
          <w:tcPr>
            <w:tcW w:w="1440" w:type="dxa"/>
            <w:vAlign w:val="bottom"/>
            <w:tcBorders>
              <w:bottom w:val="single" w:sz="8" w:color="auto"/>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auto"/>
              </w:rPr>
              <w:t>1,497</w:t>
            </w:r>
          </w:p>
        </w:tc>
        <w:tc>
          <w:tcPr>
            <w:tcW w:w="1260" w:type="dxa"/>
            <w:vAlign w:val="bottom"/>
            <w:tcBorders>
              <w:bottom w:val="single" w:sz="8" w:color="auto"/>
            </w:tcBorders>
            <w:shd w:val="clear" w:color="auto" w:fill="DDDDDD"/>
          </w:tcPr>
          <w:p>
            <w:pPr>
              <w:jc w:val="right"/>
              <w:ind w:right="208"/>
              <w:spacing w:after="0"/>
              <w:rPr>
                <w:sz w:val="20"/>
                <w:szCs w:val="20"/>
                <w:color w:val="auto"/>
              </w:rPr>
            </w:pPr>
            <w:r>
              <w:rPr>
                <w:rFonts w:ascii="Arial" w:cs="Arial" w:eastAsia="Arial" w:hAnsi="Arial"/>
                <w:sz w:val="14"/>
                <w:szCs w:val="14"/>
                <w:b w:val="1"/>
                <w:bCs w:val="1"/>
                <w:color w:val="auto"/>
              </w:rPr>
              <w:t>(1,253)</w:t>
            </w:r>
          </w:p>
        </w:tc>
        <w:tc>
          <w:tcPr>
            <w:tcW w:w="114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auto"/>
              </w:rPr>
              <w:t>244</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shd w:val="clear" w:color="auto" w:fill="DDDDDD"/>
          </w:tcPr>
          <w:p>
            <w:pPr>
              <w:spacing w:after="0"/>
              <w:rPr>
                <w:sz w:val="12"/>
                <w:szCs w:val="12"/>
                <w:color w:val="auto"/>
              </w:rPr>
            </w:pPr>
          </w:p>
        </w:tc>
        <w:tc>
          <w:tcPr>
            <w:tcW w:w="1180" w:type="dxa"/>
            <w:vAlign w:val="bottom"/>
            <w:tcBorders>
              <w:bottom w:val="single" w:sz="8" w:color="auto"/>
            </w:tcBorders>
            <w:shd w:val="clear" w:color="auto" w:fill="DDDDDD"/>
          </w:tcPr>
          <w:p>
            <w:pPr>
              <w:jc w:val="right"/>
              <w:ind w:right="48"/>
              <w:spacing w:after="0" w:line="142" w:lineRule="exact"/>
              <w:rPr>
                <w:sz w:val="20"/>
                <w:szCs w:val="20"/>
                <w:color w:val="auto"/>
              </w:rPr>
            </w:pPr>
            <w:r>
              <w:rPr>
                <w:rFonts w:ascii="Arial" w:cs="Arial" w:eastAsia="Arial" w:hAnsi="Arial"/>
                <w:sz w:val="14"/>
                <w:szCs w:val="14"/>
                <w:b w:val="1"/>
                <w:bCs w:val="1"/>
                <w:color w:val="auto"/>
              </w:rPr>
              <w:t>36</w:t>
            </w:r>
          </w:p>
        </w:tc>
        <w:tc>
          <w:tcPr>
            <w:tcW w:w="120" w:type="dxa"/>
            <w:vAlign w:val="bottom"/>
            <w:tcBorders>
              <w:bottom w:val="single" w:sz="8" w:color="auto"/>
            </w:tcBorders>
            <w:shd w:val="clear" w:color="auto" w:fill="DDDDDD"/>
          </w:tcPr>
          <w:p>
            <w:pPr>
              <w:spacing w:after="0"/>
              <w:rPr>
                <w:sz w:val="12"/>
                <w:szCs w:val="12"/>
                <w:color w:val="auto"/>
              </w:rPr>
            </w:pPr>
          </w:p>
        </w:tc>
        <w:tc>
          <w:tcPr>
            <w:tcW w:w="1180" w:type="dxa"/>
            <w:vAlign w:val="bottom"/>
            <w:tcBorders>
              <w:bottom w:val="single" w:sz="8" w:color="auto"/>
            </w:tcBorders>
            <w:shd w:val="clear" w:color="auto" w:fill="DDDDDD"/>
          </w:tcPr>
          <w:p>
            <w:pPr>
              <w:jc w:val="right"/>
              <w:ind w:right="48"/>
              <w:spacing w:after="0" w:line="142" w:lineRule="exact"/>
              <w:rPr>
                <w:sz w:val="20"/>
                <w:szCs w:val="20"/>
                <w:color w:val="auto"/>
              </w:rPr>
            </w:pPr>
            <w:r>
              <w:rPr>
                <w:rFonts w:ascii="Arial" w:cs="Arial" w:eastAsia="Arial" w:hAnsi="Arial"/>
                <w:sz w:val="14"/>
                <w:szCs w:val="14"/>
                <w:b w:val="1"/>
                <w:bCs w:val="1"/>
                <w:color w:val="auto"/>
              </w:rPr>
              <w:t>17</w:t>
            </w:r>
          </w:p>
        </w:tc>
        <w:tc>
          <w:tcPr>
            <w:tcW w:w="1440" w:type="dxa"/>
            <w:vAlign w:val="bottom"/>
            <w:tcBorders>
              <w:bottom w:val="single" w:sz="8" w:color="auto"/>
            </w:tcBorders>
            <w:shd w:val="clear" w:color="auto" w:fill="DDDDDD"/>
          </w:tcPr>
          <w:p>
            <w:pPr>
              <w:jc w:val="right"/>
              <w:ind w:right="188"/>
              <w:spacing w:after="0" w:line="142" w:lineRule="exact"/>
              <w:rPr>
                <w:sz w:val="20"/>
                <w:szCs w:val="20"/>
                <w:color w:val="auto"/>
              </w:rPr>
            </w:pPr>
            <w:r>
              <w:rPr>
                <w:rFonts w:ascii="Arial" w:cs="Arial" w:eastAsia="Arial" w:hAnsi="Arial"/>
                <w:sz w:val="14"/>
                <w:szCs w:val="14"/>
                <w:b w:val="1"/>
                <w:bCs w:val="1"/>
                <w:color w:val="auto"/>
              </w:rPr>
              <w:t>1,545</w:t>
            </w:r>
          </w:p>
        </w:tc>
        <w:tc>
          <w:tcPr>
            <w:tcW w:w="1440" w:type="dxa"/>
            <w:vAlign w:val="bottom"/>
            <w:tcBorders>
              <w:bottom w:val="single" w:sz="8" w:color="auto"/>
            </w:tcBorders>
            <w:shd w:val="clear" w:color="auto" w:fill="DDDDDD"/>
          </w:tcPr>
          <w:p>
            <w:pPr>
              <w:jc w:val="right"/>
              <w:ind w:right="328"/>
              <w:spacing w:after="0" w:line="142" w:lineRule="exact"/>
              <w:rPr>
                <w:sz w:val="20"/>
                <w:szCs w:val="20"/>
                <w:color w:val="auto"/>
              </w:rPr>
            </w:pPr>
            <w:r>
              <w:rPr>
                <w:rFonts w:ascii="Arial" w:cs="Arial" w:eastAsia="Arial" w:hAnsi="Arial"/>
                <w:sz w:val="14"/>
                <w:szCs w:val="14"/>
                <w:b w:val="1"/>
                <w:bCs w:val="1"/>
                <w:color w:val="auto"/>
              </w:rPr>
              <w:t>1,598</w:t>
            </w:r>
          </w:p>
        </w:tc>
        <w:tc>
          <w:tcPr>
            <w:tcW w:w="1260" w:type="dxa"/>
            <w:vAlign w:val="bottom"/>
            <w:tcBorders>
              <w:bottom w:val="single" w:sz="8" w:color="auto"/>
            </w:tcBorders>
            <w:shd w:val="clear" w:color="auto" w:fill="DDDDDD"/>
          </w:tcPr>
          <w:p>
            <w:pPr>
              <w:jc w:val="right"/>
              <w:ind w:right="208"/>
              <w:spacing w:after="0" w:line="142" w:lineRule="exact"/>
              <w:rPr>
                <w:sz w:val="20"/>
                <w:szCs w:val="20"/>
                <w:color w:val="auto"/>
              </w:rPr>
            </w:pPr>
            <w:r>
              <w:rPr>
                <w:rFonts w:ascii="Arial" w:cs="Arial" w:eastAsia="Arial" w:hAnsi="Arial"/>
                <w:sz w:val="14"/>
                <w:szCs w:val="14"/>
                <w:b w:val="1"/>
                <w:bCs w:val="1"/>
                <w:color w:val="auto"/>
              </w:rPr>
              <w:t>(1,291)</w:t>
            </w:r>
          </w:p>
        </w:tc>
        <w:tc>
          <w:tcPr>
            <w:tcW w:w="1140" w:type="dxa"/>
            <w:vAlign w:val="bottom"/>
            <w:tcBorders>
              <w:bottom w:val="single" w:sz="8" w:color="auto"/>
            </w:tcBorders>
            <w:shd w:val="clear" w:color="auto" w:fill="DDDDDD"/>
          </w:tcPr>
          <w:p>
            <w:pPr>
              <w:jc w:val="right"/>
              <w:ind w:right="48"/>
              <w:spacing w:after="0" w:line="142" w:lineRule="exact"/>
              <w:rPr>
                <w:sz w:val="20"/>
                <w:szCs w:val="20"/>
                <w:color w:val="auto"/>
              </w:rPr>
            </w:pPr>
            <w:r>
              <w:rPr>
                <w:rFonts w:ascii="Arial" w:cs="Arial" w:eastAsia="Arial" w:hAnsi="Arial"/>
                <w:sz w:val="14"/>
                <w:szCs w:val="14"/>
                <w:b w:val="1"/>
                <w:bCs w:val="1"/>
                <w:color w:val="auto"/>
              </w:rPr>
              <w:t>307</w:t>
            </w:r>
          </w:p>
        </w:tc>
        <w:tc>
          <w:tcPr>
            <w:tcW w:w="0" w:type="dxa"/>
            <w:vAlign w:val="bottom"/>
          </w:tcPr>
          <w:p>
            <w:pPr>
              <w:spacing w:after="0"/>
              <w:rPr>
                <w:sz w:val="1"/>
                <w:szCs w:val="1"/>
                <w:color w:val="auto"/>
              </w:rPr>
            </w:pPr>
          </w:p>
        </w:tc>
      </w:tr>
      <w:tr>
        <w:trPr>
          <w:trHeight w:val="119"/>
        </w:trPr>
        <w:tc>
          <w:tcPr>
            <w:tcW w:w="3360" w:type="dxa"/>
            <w:vAlign w:val="bottom"/>
          </w:tcPr>
          <w:p>
            <w:pPr>
              <w:spacing w:after="0" w:line="119" w:lineRule="exact"/>
              <w:rPr>
                <w:sz w:val="20"/>
                <w:szCs w:val="20"/>
                <w:color w:val="auto"/>
              </w:rPr>
            </w:pPr>
            <w:r>
              <w:rPr>
                <w:rFonts w:ascii="Arial" w:cs="Arial" w:eastAsia="Arial" w:hAnsi="Arial"/>
                <w:sz w:val="13"/>
                <w:szCs w:val="13"/>
                <w:color w:val="auto"/>
              </w:rPr>
              <w:t>Deferred amounts and other assets</w:t>
            </w:r>
          </w:p>
        </w:tc>
        <w:tc>
          <w:tcPr>
            <w:tcW w:w="120" w:type="dxa"/>
            <w:vAlign w:val="bottom"/>
            <w:shd w:val="clear" w:color="auto" w:fill="DDDDDD"/>
          </w:tcPr>
          <w:p>
            <w:pPr>
              <w:spacing w:after="0"/>
              <w:rPr>
                <w:sz w:val="10"/>
                <w:szCs w:val="10"/>
                <w:color w:val="auto"/>
              </w:rPr>
            </w:pPr>
          </w:p>
        </w:tc>
        <w:tc>
          <w:tcPr>
            <w:tcW w:w="1180" w:type="dxa"/>
            <w:vAlign w:val="bottom"/>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1180" w:type="dxa"/>
            <w:vAlign w:val="bottom"/>
            <w:shd w:val="clear" w:color="auto" w:fill="DDDDDD"/>
          </w:tcPr>
          <w:p>
            <w:pPr>
              <w:spacing w:after="0"/>
              <w:rPr>
                <w:sz w:val="10"/>
                <w:szCs w:val="10"/>
                <w:color w:val="auto"/>
              </w:rPr>
            </w:pPr>
          </w:p>
        </w:tc>
        <w:tc>
          <w:tcPr>
            <w:tcW w:w="1440" w:type="dxa"/>
            <w:vAlign w:val="bottom"/>
            <w:shd w:val="clear" w:color="auto" w:fill="DDDDDD"/>
          </w:tcPr>
          <w:p>
            <w:pPr>
              <w:spacing w:after="0"/>
              <w:rPr>
                <w:sz w:val="10"/>
                <w:szCs w:val="10"/>
                <w:color w:val="auto"/>
              </w:rPr>
            </w:pPr>
          </w:p>
        </w:tc>
        <w:tc>
          <w:tcPr>
            <w:tcW w:w="1440" w:type="dxa"/>
            <w:vAlign w:val="bottom"/>
            <w:shd w:val="clear" w:color="auto" w:fill="DDDDDD"/>
          </w:tcPr>
          <w:p>
            <w:pPr>
              <w:spacing w:after="0"/>
              <w:rPr>
                <w:sz w:val="10"/>
                <w:szCs w:val="10"/>
                <w:color w:val="auto"/>
              </w:rPr>
            </w:pPr>
          </w:p>
        </w:tc>
        <w:tc>
          <w:tcPr>
            <w:tcW w:w="1260" w:type="dxa"/>
            <w:vAlign w:val="bottom"/>
            <w:shd w:val="clear" w:color="auto" w:fill="DDDDDD"/>
          </w:tcPr>
          <w:p>
            <w:pPr>
              <w:spacing w:after="0"/>
              <w:rPr>
                <w:sz w:val="10"/>
                <w:szCs w:val="10"/>
                <w:color w:val="auto"/>
              </w:rPr>
            </w:pPr>
          </w:p>
        </w:tc>
        <w:tc>
          <w:tcPr>
            <w:tcW w:w="1140" w:type="dxa"/>
            <w:vAlign w:val="bottom"/>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80"/>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shd w:val="clear" w:color="auto" w:fill="DDDDDD"/>
          </w:tcPr>
          <w:p>
            <w:pPr>
              <w:spacing w:after="0"/>
              <w:rPr>
                <w:sz w:val="12"/>
                <w:szCs w:val="12"/>
                <w:color w:val="auto"/>
              </w:rPr>
            </w:pPr>
          </w:p>
        </w:tc>
        <w:tc>
          <w:tcPr>
            <w:tcW w:w="118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DDDDDD"/>
          </w:tcPr>
          <w:p>
            <w:pPr>
              <w:spacing w:after="0"/>
              <w:rPr>
                <w:sz w:val="12"/>
                <w:szCs w:val="12"/>
                <w:color w:val="auto"/>
              </w:rPr>
            </w:pPr>
          </w:p>
        </w:tc>
        <w:tc>
          <w:tcPr>
            <w:tcW w:w="118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DDDDDD"/>
          </w:tcPr>
          <w:p>
            <w:pPr>
              <w:jc w:val="right"/>
              <w:ind w:right="188"/>
              <w:spacing w:after="0" w:line="149" w:lineRule="exact"/>
              <w:rPr>
                <w:sz w:val="20"/>
                <w:szCs w:val="20"/>
                <w:color w:val="auto"/>
              </w:rPr>
            </w:pPr>
            <w:r>
              <w:rPr>
                <w:rFonts w:ascii="Arial" w:cs="Arial" w:eastAsia="Arial" w:hAnsi="Arial"/>
                <w:sz w:val="14"/>
                <w:szCs w:val="14"/>
                <w:b w:val="1"/>
                <w:bCs w:val="1"/>
                <w:color w:val="auto"/>
              </w:rPr>
              <w:t>33</w:t>
            </w:r>
          </w:p>
        </w:tc>
        <w:tc>
          <w:tcPr>
            <w:tcW w:w="1440" w:type="dxa"/>
            <w:vAlign w:val="bottom"/>
            <w:shd w:val="clear" w:color="auto" w:fill="DDDDDD"/>
          </w:tcPr>
          <w:p>
            <w:pPr>
              <w:jc w:val="right"/>
              <w:ind w:right="328"/>
              <w:spacing w:after="0" w:line="149" w:lineRule="exact"/>
              <w:rPr>
                <w:sz w:val="20"/>
                <w:szCs w:val="20"/>
                <w:color w:val="auto"/>
              </w:rPr>
            </w:pPr>
            <w:r>
              <w:rPr>
                <w:rFonts w:ascii="Arial" w:cs="Arial" w:eastAsia="Arial" w:hAnsi="Arial"/>
                <w:sz w:val="14"/>
                <w:szCs w:val="14"/>
                <w:b w:val="1"/>
                <w:bCs w:val="1"/>
                <w:color w:val="auto"/>
              </w:rPr>
              <w:t>33</w:t>
            </w:r>
          </w:p>
        </w:tc>
        <w:tc>
          <w:tcPr>
            <w:tcW w:w="1260" w:type="dxa"/>
            <w:vAlign w:val="bottom"/>
            <w:shd w:val="clear" w:color="auto" w:fill="DDDDDD"/>
          </w:tcPr>
          <w:p>
            <w:pPr>
              <w:jc w:val="right"/>
              <w:ind w:right="208"/>
              <w:spacing w:after="0" w:line="149" w:lineRule="exact"/>
              <w:rPr>
                <w:sz w:val="20"/>
                <w:szCs w:val="20"/>
                <w:color w:val="auto"/>
              </w:rPr>
            </w:pPr>
            <w:r>
              <w:rPr>
                <w:rFonts w:ascii="Arial" w:cs="Arial" w:eastAsia="Arial" w:hAnsi="Arial"/>
                <w:sz w:val="14"/>
                <w:szCs w:val="14"/>
                <w:b w:val="1"/>
                <w:bCs w:val="1"/>
                <w:color w:val="auto"/>
              </w:rPr>
              <w:t>(28)</w:t>
            </w:r>
          </w:p>
        </w:tc>
        <w:tc>
          <w:tcPr>
            <w:tcW w:w="114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49"/>
        </w:trPr>
        <w:tc>
          <w:tcPr>
            <w:tcW w:w="3360" w:type="dxa"/>
            <w:vAlign w:val="bottom"/>
          </w:tcPr>
          <w:p>
            <w:pPr>
              <w:ind w:left="80"/>
              <w:spacing w:after="0" w:line="149" w:lineRule="exact"/>
              <w:rPr>
                <w:sz w:val="20"/>
                <w:szCs w:val="20"/>
                <w:color w:val="auto"/>
              </w:rPr>
            </w:pPr>
            <w:r>
              <w:rPr>
                <w:rFonts w:ascii="Arial" w:cs="Arial" w:eastAsia="Arial" w:hAnsi="Arial"/>
                <w:sz w:val="14"/>
                <w:szCs w:val="14"/>
                <w:color w:val="auto"/>
              </w:rPr>
              <w:t>Interest rate contracts</w:t>
            </w:r>
          </w:p>
        </w:tc>
        <w:tc>
          <w:tcPr>
            <w:tcW w:w="120" w:type="dxa"/>
            <w:vAlign w:val="bottom"/>
            <w:shd w:val="clear" w:color="auto" w:fill="DDDDDD"/>
          </w:tcPr>
          <w:p>
            <w:pPr>
              <w:spacing w:after="0"/>
              <w:rPr>
                <w:sz w:val="12"/>
                <w:szCs w:val="12"/>
                <w:color w:val="auto"/>
              </w:rPr>
            </w:pPr>
          </w:p>
        </w:tc>
        <w:tc>
          <w:tcPr>
            <w:tcW w:w="118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11</w:t>
            </w:r>
          </w:p>
        </w:tc>
        <w:tc>
          <w:tcPr>
            <w:tcW w:w="120" w:type="dxa"/>
            <w:vAlign w:val="bottom"/>
            <w:shd w:val="clear" w:color="auto" w:fill="DDDDDD"/>
          </w:tcPr>
          <w:p>
            <w:pPr>
              <w:spacing w:after="0"/>
              <w:rPr>
                <w:sz w:val="12"/>
                <w:szCs w:val="12"/>
                <w:color w:val="auto"/>
              </w:rPr>
            </w:pPr>
          </w:p>
        </w:tc>
        <w:tc>
          <w:tcPr>
            <w:tcW w:w="118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DDDDDD"/>
          </w:tcPr>
          <w:p>
            <w:pPr>
              <w:jc w:val="right"/>
              <w:ind w:right="188"/>
              <w:spacing w:after="0" w:line="149" w:lineRule="exact"/>
              <w:rPr>
                <w:sz w:val="20"/>
                <w:szCs w:val="20"/>
                <w:color w:val="auto"/>
              </w:rPr>
            </w:pPr>
            <w:r>
              <w:rPr>
                <w:rFonts w:ascii="Arial" w:cs="Arial" w:eastAsia="Arial" w:hAnsi="Arial"/>
                <w:sz w:val="14"/>
                <w:szCs w:val="14"/>
                <w:b w:val="1"/>
                <w:bCs w:val="1"/>
                <w:color w:val="auto"/>
              </w:rPr>
              <w:t>134</w:t>
            </w:r>
          </w:p>
        </w:tc>
        <w:tc>
          <w:tcPr>
            <w:tcW w:w="1440" w:type="dxa"/>
            <w:vAlign w:val="bottom"/>
            <w:shd w:val="clear" w:color="auto" w:fill="DDDDDD"/>
          </w:tcPr>
          <w:p>
            <w:pPr>
              <w:jc w:val="right"/>
              <w:ind w:right="328"/>
              <w:spacing w:after="0" w:line="149" w:lineRule="exact"/>
              <w:rPr>
                <w:sz w:val="20"/>
                <w:szCs w:val="20"/>
                <w:color w:val="auto"/>
              </w:rPr>
            </w:pPr>
            <w:r>
              <w:rPr>
                <w:rFonts w:ascii="Arial" w:cs="Arial" w:eastAsia="Arial" w:hAnsi="Arial"/>
                <w:sz w:val="14"/>
                <w:szCs w:val="14"/>
                <w:b w:val="1"/>
                <w:bCs w:val="1"/>
                <w:color w:val="auto"/>
              </w:rPr>
              <w:t>145</w:t>
            </w:r>
          </w:p>
        </w:tc>
        <w:tc>
          <w:tcPr>
            <w:tcW w:w="1260" w:type="dxa"/>
            <w:vAlign w:val="bottom"/>
            <w:shd w:val="clear" w:color="auto" w:fill="DDDDDD"/>
          </w:tcPr>
          <w:p>
            <w:pPr>
              <w:jc w:val="right"/>
              <w:ind w:right="208"/>
              <w:spacing w:after="0" w:line="149" w:lineRule="exact"/>
              <w:rPr>
                <w:sz w:val="20"/>
                <w:szCs w:val="20"/>
                <w:color w:val="auto"/>
              </w:rPr>
            </w:pPr>
            <w:r>
              <w:rPr>
                <w:rFonts w:ascii="Arial" w:cs="Arial" w:eastAsia="Arial" w:hAnsi="Arial"/>
                <w:sz w:val="14"/>
                <w:szCs w:val="14"/>
                <w:b w:val="1"/>
                <w:bCs w:val="1"/>
                <w:color w:val="auto"/>
              </w:rPr>
              <w:t>(52)</w:t>
            </w:r>
          </w:p>
        </w:tc>
        <w:tc>
          <w:tcPr>
            <w:tcW w:w="114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93</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Commodity contracts</w:t>
            </w:r>
          </w:p>
        </w:tc>
        <w:tc>
          <w:tcPr>
            <w:tcW w:w="120" w:type="dxa"/>
            <w:vAlign w:val="bottom"/>
            <w:tcBorders>
              <w:bottom w:val="single" w:sz="8" w:color="auto"/>
            </w:tcBorders>
            <w:shd w:val="clear" w:color="auto" w:fill="DDDDDD"/>
          </w:tcPr>
          <w:p>
            <w:pPr>
              <w:spacing w:after="0"/>
              <w:rPr>
                <w:sz w:val="14"/>
                <w:szCs w:val="14"/>
                <w:color w:val="auto"/>
              </w:rPr>
            </w:pPr>
          </w:p>
        </w:tc>
        <w:tc>
          <w:tcPr>
            <w:tcW w:w="118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DDDDDD"/>
          </w:tcPr>
          <w:p>
            <w:pPr>
              <w:spacing w:after="0"/>
              <w:rPr>
                <w:sz w:val="14"/>
                <w:szCs w:val="14"/>
                <w:color w:val="auto"/>
              </w:rPr>
            </w:pPr>
          </w:p>
        </w:tc>
        <w:tc>
          <w:tcPr>
            <w:tcW w:w="118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DDDDDD"/>
          </w:tcPr>
          <w:p>
            <w:pPr>
              <w:jc w:val="right"/>
              <w:ind w:right="188"/>
              <w:spacing w:after="0"/>
              <w:rPr>
                <w:sz w:val="20"/>
                <w:szCs w:val="20"/>
                <w:color w:val="auto"/>
              </w:rPr>
            </w:pPr>
            <w:r>
              <w:rPr>
                <w:rFonts w:ascii="Arial" w:cs="Arial" w:eastAsia="Arial" w:hAnsi="Arial"/>
                <w:sz w:val="14"/>
                <w:szCs w:val="14"/>
                <w:b w:val="1"/>
                <w:bCs w:val="1"/>
                <w:color w:val="auto"/>
              </w:rPr>
              <w:t>76</w:t>
            </w:r>
          </w:p>
        </w:tc>
        <w:tc>
          <w:tcPr>
            <w:tcW w:w="1440" w:type="dxa"/>
            <w:vAlign w:val="bottom"/>
            <w:tcBorders>
              <w:bottom w:val="single" w:sz="8" w:color="auto"/>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auto"/>
              </w:rPr>
              <w:t>76</w:t>
            </w:r>
          </w:p>
        </w:tc>
        <w:tc>
          <w:tcPr>
            <w:tcW w:w="1260" w:type="dxa"/>
            <w:vAlign w:val="bottom"/>
            <w:tcBorders>
              <w:bottom w:val="single" w:sz="8" w:color="auto"/>
            </w:tcBorders>
            <w:shd w:val="clear" w:color="auto" w:fill="DDDDDD"/>
          </w:tcPr>
          <w:p>
            <w:pPr>
              <w:jc w:val="right"/>
              <w:ind w:right="208"/>
              <w:spacing w:after="0"/>
              <w:rPr>
                <w:sz w:val="20"/>
                <w:szCs w:val="20"/>
                <w:color w:val="auto"/>
              </w:rPr>
            </w:pPr>
            <w:r>
              <w:rPr>
                <w:rFonts w:ascii="Arial" w:cs="Arial" w:eastAsia="Arial" w:hAnsi="Arial"/>
                <w:sz w:val="14"/>
                <w:szCs w:val="14"/>
                <w:b w:val="1"/>
                <w:bCs w:val="1"/>
                <w:color w:val="auto"/>
              </w:rPr>
              <w:t>(27)</w:t>
            </w:r>
          </w:p>
        </w:tc>
        <w:tc>
          <w:tcPr>
            <w:tcW w:w="114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shd w:val="clear" w:color="auto" w:fill="DDDDDD"/>
          </w:tcPr>
          <w:p>
            <w:pPr>
              <w:spacing w:after="0"/>
              <w:rPr>
                <w:sz w:val="12"/>
                <w:szCs w:val="12"/>
                <w:color w:val="auto"/>
              </w:rPr>
            </w:pPr>
          </w:p>
        </w:tc>
        <w:tc>
          <w:tcPr>
            <w:tcW w:w="1180" w:type="dxa"/>
            <w:vAlign w:val="bottom"/>
            <w:tcBorders>
              <w:bottom w:val="single" w:sz="8" w:color="auto"/>
            </w:tcBorders>
            <w:shd w:val="clear" w:color="auto" w:fill="DDDDDD"/>
          </w:tcPr>
          <w:p>
            <w:pPr>
              <w:jc w:val="right"/>
              <w:ind w:right="48"/>
              <w:spacing w:after="0" w:line="142" w:lineRule="exact"/>
              <w:rPr>
                <w:sz w:val="20"/>
                <w:szCs w:val="20"/>
                <w:color w:val="auto"/>
              </w:rPr>
            </w:pPr>
            <w:r>
              <w:rPr>
                <w:rFonts w:ascii="Arial" w:cs="Arial" w:eastAsia="Arial" w:hAnsi="Arial"/>
                <w:sz w:val="14"/>
                <w:szCs w:val="14"/>
                <w:b w:val="1"/>
                <w:bCs w:val="1"/>
                <w:color w:val="auto"/>
              </w:rPr>
              <w:t>11</w:t>
            </w:r>
          </w:p>
        </w:tc>
        <w:tc>
          <w:tcPr>
            <w:tcW w:w="120" w:type="dxa"/>
            <w:vAlign w:val="bottom"/>
            <w:tcBorders>
              <w:bottom w:val="single" w:sz="8" w:color="auto"/>
            </w:tcBorders>
            <w:shd w:val="clear" w:color="auto" w:fill="DDDDDD"/>
          </w:tcPr>
          <w:p>
            <w:pPr>
              <w:spacing w:after="0"/>
              <w:rPr>
                <w:sz w:val="12"/>
                <w:szCs w:val="12"/>
                <w:color w:val="auto"/>
              </w:rPr>
            </w:pPr>
          </w:p>
        </w:tc>
        <w:tc>
          <w:tcPr>
            <w:tcW w:w="1180" w:type="dxa"/>
            <w:vAlign w:val="bottom"/>
            <w:tcBorders>
              <w:bottom w:val="single" w:sz="8" w:color="auto"/>
            </w:tcBorders>
            <w:shd w:val="clear" w:color="auto" w:fill="DDDDDD"/>
          </w:tcPr>
          <w:p>
            <w:pPr>
              <w:jc w:val="right"/>
              <w:ind w:right="48"/>
              <w:spacing w:after="0" w:line="142" w:lineRule="exact"/>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DDDDDD"/>
          </w:tcPr>
          <w:p>
            <w:pPr>
              <w:jc w:val="right"/>
              <w:ind w:right="188"/>
              <w:spacing w:after="0" w:line="142" w:lineRule="exact"/>
              <w:rPr>
                <w:sz w:val="20"/>
                <w:szCs w:val="20"/>
                <w:color w:val="auto"/>
              </w:rPr>
            </w:pPr>
            <w:r>
              <w:rPr>
                <w:rFonts w:ascii="Arial" w:cs="Arial" w:eastAsia="Arial" w:hAnsi="Arial"/>
                <w:sz w:val="14"/>
                <w:szCs w:val="14"/>
                <w:b w:val="1"/>
                <w:bCs w:val="1"/>
                <w:color w:val="auto"/>
              </w:rPr>
              <w:t>243</w:t>
            </w:r>
          </w:p>
        </w:tc>
        <w:tc>
          <w:tcPr>
            <w:tcW w:w="1440" w:type="dxa"/>
            <w:vAlign w:val="bottom"/>
            <w:tcBorders>
              <w:bottom w:val="single" w:sz="8" w:color="auto"/>
            </w:tcBorders>
            <w:shd w:val="clear" w:color="auto" w:fill="DDDDDD"/>
          </w:tcPr>
          <w:p>
            <w:pPr>
              <w:jc w:val="right"/>
              <w:ind w:right="328"/>
              <w:spacing w:after="0" w:line="142" w:lineRule="exact"/>
              <w:rPr>
                <w:sz w:val="20"/>
                <w:szCs w:val="20"/>
                <w:color w:val="auto"/>
              </w:rPr>
            </w:pPr>
            <w:r>
              <w:rPr>
                <w:rFonts w:ascii="Arial" w:cs="Arial" w:eastAsia="Arial" w:hAnsi="Arial"/>
                <w:sz w:val="14"/>
                <w:szCs w:val="14"/>
                <w:b w:val="1"/>
                <w:bCs w:val="1"/>
                <w:color w:val="auto"/>
              </w:rPr>
              <w:t>254</w:t>
            </w:r>
          </w:p>
        </w:tc>
        <w:tc>
          <w:tcPr>
            <w:tcW w:w="1260" w:type="dxa"/>
            <w:vAlign w:val="bottom"/>
            <w:tcBorders>
              <w:bottom w:val="single" w:sz="8" w:color="auto"/>
            </w:tcBorders>
            <w:shd w:val="clear" w:color="auto" w:fill="DDDDDD"/>
          </w:tcPr>
          <w:p>
            <w:pPr>
              <w:jc w:val="right"/>
              <w:ind w:right="208"/>
              <w:spacing w:after="0" w:line="142" w:lineRule="exact"/>
              <w:rPr>
                <w:sz w:val="20"/>
                <w:szCs w:val="20"/>
                <w:color w:val="auto"/>
              </w:rPr>
            </w:pPr>
            <w:r>
              <w:rPr>
                <w:rFonts w:ascii="Arial" w:cs="Arial" w:eastAsia="Arial" w:hAnsi="Arial"/>
                <w:sz w:val="14"/>
                <w:szCs w:val="14"/>
                <w:b w:val="1"/>
                <w:bCs w:val="1"/>
                <w:color w:val="auto"/>
              </w:rPr>
              <w:t>(107)</w:t>
            </w:r>
          </w:p>
        </w:tc>
        <w:tc>
          <w:tcPr>
            <w:tcW w:w="1140" w:type="dxa"/>
            <w:vAlign w:val="bottom"/>
            <w:tcBorders>
              <w:bottom w:val="single" w:sz="8" w:color="auto"/>
            </w:tcBorders>
            <w:shd w:val="clear" w:color="auto" w:fill="DDDDDD"/>
          </w:tcPr>
          <w:p>
            <w:pPr>
              <w:jc w:val="right"/>
              <w:ind w:right="48"/>
              <w:spacing w:after="0" w:line="142" w:lineRule="exact"/>
              <w:rPr>
                <w:sz w:val="20"/>
                <w:szCs w:val="20"/>
                <w:color w:val="auto"/>
              </w:rPr>
            </w:pPr>
            <w:r>
              <w:rPr>
                <w:rFonts w:ascii="Arial" w:cs="Arial" w:eastAsia="Arial" w:hAnsi="Arial"/>
                <w:sz w:val="14"/>
                <w:szCs w:val="14"/>
                <w:b w:val="1"/>
                <w:bCs w:val="1"/>
                <w:color w:val="auto"/>
              </w:rPr>
              <w:t>147</w:t>
            </w:r>
          </w:p>
        </w:tc>
        <w:tc>
          <w:tcPr>
            <w:tcW w:w="0" w:type="dxa"/>
            <w:vAlign w:val="bottom"/>
          </w:tcPr>
          <w:p>
            <w:pPr>
              <w:spacing w:after="0"/>
              <w:rPr>
                <w:sz w:val="1"/>
                <w:szCs w:val="1"/>
                <w:color w:val="auto"/>
              </w:rPr>
            </w:pPr>
          </w:p>
        </w:tc>
      </w:tr>
      <w:tr>
        <w:trPr>
          <w:trHeight w:val="119"/>
        </w:trPr>
        <w:tc>
          <w:tcPr>
            <w:tcW w:w="3360" w:type="dxa"/>
            <w:vAlign w:val="bottom"/>
          </w:tcPr>
          <w:p>
            <w:pPr>
              <w:spacing w:after="0" w:line="119" w:lineRule="exact"/>
              <w:rPr>
                <w:sz w:val="20"/>
                <w:szCs w:val="20"/>
                <w:color w:val="auto"/>
              </w:rPr>
            </w:pPr>
            <w:r>
              <w:rPr>
                <w:rFonts w:ascii="Arial" w:cs="Arial" w:eastAsia="Arial" w:hAnsi="Arial"/>
                <w:sz w:val="13"/>
                <w:szCs w:val="13"/>
                <w:color w:val="auto"/>
              </w:rPr>
              <w:t>Other current liabilities</w:t>
            </w:r>
          </w:p>
        </w:tc>
        <w:tc>
          <w:tcPr>
            <w:tcW w:w="120" w:type="dxa"/>
            <w:vAlign w:val="bottom"/>
            <w:shd w:val="clear" w:color="auto" w:fill="DDDDDD"/>
          </w:tcPr>
          <w:p>
            <w:pPr>
              <w:spacing w:after="0"/>
              <w:rPr>
                <w:sz w:val="10"/>
                <w:szCs w:val="10"/>
                <w:color w:val="auto"/>
              </w:rPr>
            </w:pPr>
          </w:p>
        </w:tc>
        <w:tc>
          <w:tcPr>
            <w:tcW w:w="1180" w:type="dxa"/>
            <w:vAlign w:val="bottom"/>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1180" w:type="dxa"/>
            <w:vAlign w:val="bottom"/>
            <w:shd w:val="clear" w:color="auto" w:fill="DDDDDD"/>
          </w:tcPr>
          <w:p>
            <w:pPr>
              <w:spacing w:after="0"/>
              <w:rPr>
                <w:sz w:val="10"/>
                <w:szCs w:val="10"/>
                <w:color w:val="auto"/>
              </w:rPr>
            </w:pPr>
          </w:p>
        </w:tc>
        <w:tc>
          <w:tcPr>
            <w:tcW w:w="1440" w:type="dxa"/>
            <w:vAlign w:val="bottom"/>
            <w:shd w:val="clear" w:color="auto" w:fill="DDDDDD"/>
          </w:tcPr>
          <w:p>
            <w:pPr>
              <w:spacing w:after="0"/>
              <w:rPr>
                <w:sz w:val="10"/>
                <w:szCs w:val="10"/>
                <w:color w:val="auto"/>
              </w:rPr>
            </w:pPr>
          </w:p>
        </w:tc>
        <w:tc>
          <w:tcPr>
            <w:tcW w:w="1440" w:type="dxa"/>
            <w:vAlign w:val="bottom"/>
            <w:shd w:val="clear" w:color="auto" w:fill="DDDDDD"/>
          </w:tcPr>
          <w:p>
            <w:pPr>
              <w:spacing w:after="0"/>
              <w:rPr>
                <w:sz w:val="10"/>
                <w:szCs w:val="10"/>
                <w:color w:val="auto"/>
              </w:rPr>
            </w:pPr>
          </w:p>
        </w:tc>
        <w:tc>
          <w:tcPr>
            <w:tcW w:w="1260" w:type="dxa"/>
            <w:vAlign w:val="bottom"/>
            <w:shd w:val="clear" w:color="auto" w:fill="DDDDDD"/>
          </w:tcPr>
          <w:p>
            <w:pPr>
              <w:spacing w:after="0"/>
              <w:rPr>
                <w:sz w:val="10"/>
                <w:szCs w:val="10"/>
                <w:color w:val="auto"/>
              </w:rPr>
            </w:pPr>
          </w:p>
        </w:tc>
        <w:tc>
          <w:tcPr>
            <w:tcW w:w="1140" w:type="dxa"/>
            <w:vAlign w:val="bottom"/>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60" w:type="dxa"/>
            <w:vAlign w:val="bottom"/>
          </w:tcPr>
          <w:p>
            <w:pPr>
              <w:ind w:left="80"/>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shd w:val="clear" w:color="auto" w:fill="DDDDDD"/>
          </w:tcPr>
          <w:p>
            <w:pPr>
              <w:spacing w:after="0"/>
              <w:rPr>
                <w:sz w:val="12"/>
                <w:szCs w:val="12"/>
                <w:color w:val="auto"/>
              </w:rPr>
            </w:pPr>
          </w:p>
        </w:tc>
        <w:tc>
          <w:tcPr>
            <w:tcW w:w="118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DDDDDD"/>
          </w:tcPr>
          <w:p>
            <w:pPr>
              <w:spacing w:after="0"/>
              <w:rPr>
                <w:sz w:val="12"/>
                <w:szCs w:val="12"/>
                <w:color w:val="auto"/>
              </w:rPr>
            </w:pPr>
          </w:p>
        </w:tc>
        <w:tc>
          <w:tcPr>
            <w:tcW w:w="118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DDDDDD"/>
          </w:tcPr>
          <w:p>
            <w:pPr>
              <w:jc w:val="right"/>
              <w:ind w:right="128"/>
              <w:spacing w:after="0" w:line="149" w:lineRule="exact"/>
              <w:rPr>
                <w:sz w:val="20"/>
                <w:szCs w:val="20"/>
                <w:color w:val="auto"/>
              </w:rPr>
            </w:pPr>
            <w:r>
              <w:rPr>
                <w:rFonts w:ascii="Arial" w:cs="Arial" w:eastAsia="Arial" w:hAnsi="Arial"/>
                <w:sz w:val="14"/>
                <w:szCs w:val="14"/>
                <w:b w:val="1"/>
                <w:bCs w:val="1"/>
                <w:color w:val="auto"/>
              </w:rPr>
              <w:t>(508)</w:t>
            </w:r>
          </w:p>
        </w:tc>
        <w:tc>
          <w:tcPr>
            <w:tcW w:w="1440" w:type="dxa"/>
            <w:vAlign w:val="bottom"/>
            <w:shd w:val="clear" w:color="auto" w:fill="DDDDDD"/>
          </w:tcPr>
          <w:p>
            <w:pPr>
              <w:jc w:val="right"/>
              <w:ind w:right="268"/>
              <w:spacing w:after="0" w:line="149" w:lineRule="exact"/>
              <w:rPr>
                <w:sz w:val="20"/>
                <w:szCs w:val="20"/>
                <w:color w:val="auto"/>
              </w:rPr>
            </w:pPr>
            <w:r>
              <w:rPr>
                <w:rFonts w:ascii="Arial" w:cs="Arial" w:eastAsia="Arial" w:hAnsi="Arial"/>
                <w:sz w:val="14"/>
                <w:szCs w:val="14"/>
                <w:b w:val="1"/>
                <w:bCs w:val="1"/>
                <w:color w:val="auto"/>
              </w:rPr>
              <w:t>(508)</w:t>
            </w:r>
          </w:p>
        </w:tc>
        <w:tc>
          <w:tcPr>
            <w:tcW w:w="1260" w:type="dxa"/>
            <w:vAlign w:val="bottom"/>
            <w:shd w:val="clear" w:color="auto" w:fill="DDDDDD"/>
          </w:tcPr>
          <w:p>
            <w:pPr>
              <w:jc w:val="right"/>
              <w:ind w:right="268"/>
              <w:spacing w:after="0" w:line="149" w:lineRule="exact"/>
              <w:rPr>
                <w:sz w:val="20"/>
                <w:szCs w:val="20"/>
                <w:color w:val="auto"/>
              </w:rPr>
            </w:pPr>
            <w:r>
              <w:rPr>
                <w:rFonts w:ascii="Arial" w:cs="Arial" w:eastAsia="Arial" w:hAnsi="Arial"/>
                <w:sz w:val="14"/>
                <w:szCs w:val="14"/>
                <w:b w:val="1"/>
                <w:bCs w:val="1"/>
                <w:color w:val="auto"/>
              </w:rPr>
              <w:t>16</w:t>
            </w:r>
          </w:p>
        </w:tc>
        <w:tc>
          <w:tcPr>
            <w:tcW w:w="114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(492)</w:t>
            </w:r>
          </w:p>
        </w:tc>
        <w:tc>
          <w:tcPr>
            <w:tcW w:w="0" w:type="dxa"/>
            <w:vAlign w:val="bottom"/>
          </w:tcPr>
          <w:p>
            <w:pPr>
              <w:spacing w:after="0"/>
              <w:rPr>
                <w:sz w:val="1"/>
                <w:szCs w:val="1"/>
                <w:color w:val="auto"/>
              </w:rPr>
            </w:pPr>
          </w:p>
        </w:tc>
      </w:tr>
      <w:tr>
        <w:trPr>
          <w:trHeight w:val="148"/>
        </w:trPr>
        <w:tc>
          <w:tcPr>
            <w:tcW w:w="3360" w:type="dxa"/>
            <w:vAlign w:val="bottom"/>
          </w:tcPr>
          <w:p>
            <w:pPr>
              <w:ind w:left="80"/>
              <w:spacing w:after="0" w:line="149" w:lineRule="exact"/>
              <w:rPr>
                <w:sz w:val="20"/>
                <w:szCs w:val="20"/>
                <w:color w:val="auto"/>
              </w:rPr>
            </w:pPr>
            <w:r>
              <w:rPr>
                <w:rFonts w:ascii="Arial" w:cs="Arial" w:eastAsia="Arial" w:hAnsi="Arial"/>
                <w:sz w:val="14"/>
                <w:szCs w:val="14"/>
                <w:color w:val="auto"/>
              </w:rPr>
              <w:t>Interest rate contracts</w:t>
            </w:r>
          </w:p>
        </w:tc>
        <w:tc>
          <w:tcPr>
            <w:tcW w:w="120" w:type="dxa"/>
            <w:vAlign w:val="bottom"/>
            <w:shd w:val="clear" w:color="auto" w:fill="DDDDDD"/>
          </w:tcPr>
          <w:p>
            <w:pPr>
              <w:spacing w:after="0"/>
              <w:rPr>
                <w:sz w:val="12"/>
                <w:szCs w:val="12"/>
                <w:color w:val="auto"/>
              </w:rPr>
            </w:pPr>
          </w:p>
        </w:tc>
        <w:tc>
          <w:tcPr>
            <w:tcW w:w="118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DDDDDD"/>
          </w:tcPr>
          <w:p>
            <w:pPr>
              <w:spacing w:after="0"/>
              <w:rPr>
                <w:sz w:val="12"/>
                <w:szCs w:val="12"/>
                <w:color w:val="auto"/>
              </w:rPr>
            </w:pPr>
          </w:p>
        </w:tc>
        <w:tc>
          <w:tcPr>
            <w:tcW w:w="118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DDDDDD"/>
          </w:tcPr>
          <w:p>
            <w:pPr>
              <w:jc w:val="right"/>
              <w:ind w:right="128"/>
              <w:spacing w:after="0" w:line="149" w:lineRule="exact"/>
              <w:rPr>
                <w:sz w:val="20"/>
                <w:szCs w:val="20"/>
                <w:color w:val="auto"/>
              </w:rPr>
            </w:pPr>
            <w:r>
              <w:rPr>
                <w:rFonts w:ascii="Arial" w:cs="Arial" w:eastAsia="Arial" w:hAnsi="Arial"/>
                <w:sz w:val="14"/>
                <w:szCs w:val="14"/>
                <w:b w:val="1"/>
                <w:bCs w:val="1"/>
                <w:color w:val="auto"/>
              </w:rPr>
              <w:t>(28)</w:t>
            </w:r>
          </w:p>
        </w:tc>
        <w:tc>
          <w:tcPr>
            <w:tcW w:w="1440" w:type="dxa"/>
            <w:vAlign w:val="bottom"/>
            <w:shd w:val="clear" w:color="auto" w:fill="DDDDDD"/>
          </w:tcPr>
          <w:p>
            <w:pPr>
              <w:jc w:val="right"/>
              <w:ind w:right="268"/>
              <w:spacing w:after="0" w:line="149" w:lineRule="exact"/>
              <w:rPr>
                <w:sz w:val="20"/>
                <w:szCs w:val="20"/>
                <w:color w:val="auto"/>
              </w:rPr>
            </w:pPr>
            <w:r>
              <w:rPr>
                <w:rFonts w:ascii="Arial" w:cs="Arial" w:eastAsia="Arial" w:hAnsi="Arial"/>
                <w:sz w:val="14"/>
                <w:szCs w:val="14"/>
                <w:b w:val="1"/>
                <w:bCs w:val="1"/>
                <w:color w:val="auto"/>
              </w:rPr>
              <w:t>(28)</w:t>
            </w:r>
          </w:p>
        </w:tc>
        <w:tc>
          <w:tcPr>
            <w:tcW w:w="1260" w:type="dxa"/>
            <w:vAlign w:val="bottom"/>
            <w:shd w:val="clear" w:color="auto" w:fill="DDDDDD"/>
          </w:tcPr>
          <w:p>
            <w:pPr>
              <w:jc w:val="right"/>
              <w:ind w:right="268"/>
              <w:spacing w:after="0" w:line="149" w:lineRule="exact"/>
              <w:rPr>
                <w:sz w:val="20"/>
                <w:szCs w:val="20"/>
                <w:color w:val="auto"/>
              </w:rPr>
            </w:pPr>
            <w:r>
              <w:rPr>
                <w:rFonts w:ascii="Arial" w:cs="Arial" w:eastAsia="Arial" w:hAnsi="Arial"/>
                <w:sz w:val="14"/>
                <w:szCs w:val="14"/>
                <w:b w:val="1"/>
                <w:bCs w:val="1"/>
                <w:color w:val="auto"/>
              </w:rPr>
              <w:t>22</w:t>
            </w:r>
          </w:p>
        </w:tc>
        <w:tc>
          <w:tcPr>
            <w:tcW w:w="114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Commodity contracts</w:t>
            </w:r>
          </w:p>
        </w:tc>
        <w:tc>
          <w:tcPr>
            <w:tcW w:w="120" w:type="dxa"/>
            <w:vAlign w:val="bottom"/>
            <w:tcBorders>
              <w:bottom w:val="single" w:sz="8" w:color="auto"/>
            </w:tcBorders>
            <w:shd w:val="clear" w:color="auto" w:fill="DDDDDD"/>
          </w:tcPr>
          <w:p>
            <w:pPr>
              <w:spacing w:after="0"/>
              <w:rPr>
                <w:sz w:val="14"/>
                <w:szCs w:val="14"/>
                <w:color w:val="auto"/>
              </w:rPr>
            </w:pPr>
          </w:p>
        </w:tc>
        <w:tc>
          <w:tcPr>
            <w:tcW w:w="118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DDDDDD"/>
          </w:tcPr>
          <w:p>
            <w:pPr>
              <w:spacing w:after="0"/>
              <w:rPr>
                <w:sz w:val="14"/>
                <w:szCs w:val="14"/>
                <w:color w:val="auto"/>
              </w:rPr>
            </w:pPr>
          </w:p>
        </w:tc>
        <w:tc>
          <w:tcPr>
            <w:tcW w:w="118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DDDDDD"/>
          </w:tcPr>
          <w:p>
            <w:pPr>
              <w:jc w:val="right"/>
              <w:ind w:right="128"/>
              <w:spacing w:after="0"/>
              <w:rPr>
                <w:sz w:val="20"/>
                <w:szCs w:val="20"/>
                <w:color w:val="auto"/>
              </w:rPr>
            </w:pPr>
            <w:r>
              <w:rPr>
                <w:rFonts w:ascii="Arial" w:cs="Arial" w:eastAsia="Arial" w:hAnsi="Arial"/>
                <w:sz w:val="14"/>
                <w:szCs w:val="14"/>
                <w:b w:val="1"/>
                <w:bCs w:val="1"/>
                <w:color w:val="auto"/>
              </w:rPr>
              <w:t>(1,825)</w:t>
            </w:r>
          </w:p>
        </w:tc>
        <w:tc>
          <w:tcPr>
            <w:tcW w:w="1440" w:type="dxa"/>
            <w:vAlign w:val="bottom"/>
            <w:tcBorders>
              <w:bottom w:val="single" w:sz="8" w:color="auto"/>
            </w:tcBorders>
            <w:shd w:val="clear" w:color="auto" w:fill="DDDDDD"/>
          </w:tcPr>
          <w:p>
            <w:pPr>
              <w:jc w:val="right"/>
              <w:ind w:right="268"/>
              <w:spacing w:after="0"/>
              <w:rPr>
                <w:sz w:val="20"/>
                <w:szCs w:val="20"/>
                <w:color w:val="auto"/>
              </w:rPr>
            </w:pPr>
            <w:r>
              <w:rPr>
                <w:rFonts w:ascii="Arial" w:cs="Arial" w:eastAsia="Arial" w:hAnsi="Arial"/>
                <w:sz w:val="14"/>
                <w:szCs w:val="14"/>
                <w:b w:val="1"/>
                <w:bCs w:val="1"/>
                <w:color w:val="auto"/>
              </w:rPr>
              <w:t>(1,825)</w:t>
            </w:r>
          </w:p>
        </w:tc>
        <w:tc>
          <w:tcPr>
            <w:tcW w:w="1260" w:type="dxa"/>
            <w:vAlign w:val="bottom"/>
            <w:tcBorders>
              <w:bottom w:val="single" w:sz="8" w:color="auto"/>
            </w:tcBorders>
            <w:shd w:val="clear" w:color="auto" w:fill="DDDDDD"/>
          </w:tcPr>
          <w:p>
            <w:pPr>
              <w:jc w:val="right"/>
              <w:ind w:right="268"/>
              <w:spacing w:after="0"/>
              <w:rPr>
                <w:sz w:val="20"/>
                <w:szCs w:val="20"/>
                <w:color w:val="auto"/>
              </w:rPr>
            </w:pPr>
            <w:r>
              <w:rPr>
                <w:rFonts w:ascii="Arial" w:cs="Arial" w:eastAsia="Arial" w:hAnsi="Arial"/>
                <w:sz w:val="14"/>
                <w:szCs w:val="14"/>
                <w:b w:val="1"/>
                <w:bCs w:val="1"/>
                <w:color w:val="auto"/>
              </w:rPr>
              <w:t>1,253</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auto"/>
              </w:rPr>
              <w:t>(572)</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shd w:val="clear" w:color="auto" w:fill="DDDDDD"/>
          </w:tcPr>
          <w:p>
            <w:pPr>
              <w:spacing w:after="0"/>
              <w:rPr>
                <w:sz w:val="12"/>
                <w:szCs w:val="12"/>
                <w:color w:val="auto"/>
              </w:rPr>
            </w:pPr>
          </w:p>
        </w:tc>
        <w:tc>
          <w:tcPr>
            <w:tcW w:w="1180" w:type="dxa"/>
            <w:vAlign w:val="bottom"/>
            <w:tcBorders>
              <w:bottom w:val="single" w:sz="8" w:color="auto"/>
            </w:tcBorders>
            <w:shd w:val="clear" w:color="auto" w:fill="DDDDDD"/>
          </w:tcPr>
          <w:p>
            <w:pPr>
              <w:jc w:val="right"/>
              <w:ind w:right="48"/>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DDDDDD"/>
          </w:tcPr>
          <w:p>
            <w:pPr>
              <w:spacing w:after="0"/>
              <w:rPr>
                <w:sz w:val="12"/>
                <w:szCs w:val="12"/>
                <w:color w:val="auto"/>
              </w:rPr>
            </w:pPr>
          </w:p>
        </w:tc>
        <w:tc>
          <w:tcPr>
            <w:tcW w:w="1180" w:type="dxa"/>
            <w:vAlign w:val="bottom"/>
            <w:tcBorders>
              <w:bottom w:val="single" w:sz="8" w:color="auto"/>
            </w:tcBorders>
            <w:shd w:val="clear" w:color="auto" w:fill="DDDDDD"/>
          </w:tcPr>
          <w:p>
            <w:pPr>
              <w:jc w:val="right"/>
              <w:ind w:right="48"/>
              <w:spacing w:after="0" w:line="142" w:lineRule="exact"/>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DDDDDD"/>
          </w:tcPr>
          <w:p>
            <w:pPr>
              <w:jc w:val="right"/>
              <w:ind w:right="128"/>
              <w:spacing w:after="0" w:line="142" w:lineRule="exact"/>
              <w:rPr>
                <w:sz w:val="20"/>
                <w:szCs w:val="20"/>
                <w:color w:val="auto"/>
              </w:rPr>
            </w:pPr>
            <w:r>
              <w:rPr>
                <w:rFonts w:ascii="Arial" w:cs="Arial" w:eastAsia="Arial" w:hAnsi="Arial"/>
                <w:sz w:val="14"/>
                <w:szCs w:val="14"/>
                <w:b w:val="1"/>
                <w:bCs w:val="1"/>
                <w:color w:val="auto"/>
              </w:rPr>
              <w:t>(2,361)</w:t>
            </w:r>
          </w:p>
        </w:tc>
        <w:tc>
          <w:tcPr>
            <w:tcW w:w="1440" w:type="dxa"/>
            <w:vAlign w:val="bottom"/>
            <w:tcBorders>
              <w:bottom w:val="single" w:sz="8" w:color="auto"/>
            </w:tcBorders>
            <w:shd w:val="clear" w:color="auto" w:fill="DDDDDD"/>
          </w:tcPr>
          <w:p>
            <w:pPr>
              <w:jc w:val="right"/>
              <w:ind w:right="268"/>
              <w:spacing w:after="0" w:line="142" w:lineRule="exact"/>
              <w:rPr>
                <w:sz w:val="20"/>
                <w:szCs w:val="20"/>
                <w:color w:val="auto"/>
              </w:rPr>
            </w:pPr>
            <w:r>
              <w:rPr>
                <w:rFonts w:ascii="Arial" w:cs="Arial" w:eastAsia="Arial" w:hAnsi="Arial"/>
                <w:sz w:val="14"/>
                <w:szCs w:val="14"/>
                <w:b w:val="1"/>
                <w:bCs w:val="1"/>
                <w:color w:val="auto"/>
              </w:rPr>
              <w:t>(2,361)</w:t>
            </w:r>
          </w:p>
        </w:tc>
        <w:tc>
          <w:tcPr>
            <w:tcW w:w="1260" w:type="dxa"/>
            <w:vAlign w:val="bottom"/>
            <w:tcBorders>
              <w:bottom w:val="single" w:sz="8" w:color="auto"/>
            </w:tcBorders>
            <w:shd w:val="clear" w:color="auto" w:fill="DDDDDD"/>
          </w:tcPr>
          <w:p>
            <w:pPr>
              <w:jc w:val="right"/>
              <w:ind w:right="268"/>
              <w:spacing w:after="0" w:line="142" w:lineRule="exact"/>
              <w:rPr>
                <w:sz w:val="20"/>
                <w:szCs w:val="20"/>
                <w:color w:val="auto"/>
              </w:rPr>
            </w:pPr>
            <w:r>
              <w:rPr>
                <w:rFonts w:ascii="Arial" w:cs="Arial" w:eastAsia="Arial" w:hAnsi="Arial"/>
                <w:sz w:val="14"/>
                <w:szCs w:val="14"/>
                <w:b w:val="1"/>
                <w:bCs w:val="1"/>
                <w:color w:val="auto"/>
              </w:rPr>
              <w:t>1,291</w:t>
            </w:r>
          </w:p>
        </w:tc>
        <w:tc>
          <w:tcPr>
            <w:tcW w:w="1140" w:type="dxa"/>
            <w:vAlign w:val="bottom"/>
            <w:tcBorders>
              <w:bottom w:val="single" w:sz="8" w:color="auto"/>
            </w:tcBorders>
            <w:shd w:val="clear" w:color="auto" w:fill="DDDDDD"/>
          </w:tcPr>
          <w:p>
            <w:pPr>
              <w:jc w:val="right"/>
              <w:spacing w:after="0" w:line="142" w:lineRule="exact"/>
              <w:rPr>
                <w:sz w:val="20"/>
                <w:szCs w:val="20"/>
                <w:color w:val="auto"/>
              </w:rPr>
            </w:pPr>
            <w:r>
              <w:rPr>
                <w:rFonts w:ascii="Arial" w:cs="Arial" w:eastAsia="Arial" w:hAnsi="Arial"/>
                <w:sz w:val="14"/>
                <w:szCs w:val="14"/>
                <w:b w:val="1"/>
                <w:bCs w:val="1"/>
                <w:color w:val="auto"/>
              </w:rPr>
              <w:t>(1,070)</w:t>
            </w:r>
          </w:p>
        </w:tc>
        <w:tc>
          <w:tcPr>
            <w:tcW w:w="0" w:type="dxa"/>
            <w:vAlign w:val="bottom"/>
          </w:tcPr>
          <w:p>
            <w:pPr>
              <w:spacing w:after="0"/>
              <w:rPr>
                <w:sz w:val="1"/>
                <w:szCs w:val="1"/>
                <w:color w:val="auto"/>
              </w:rPr>
            </w:pPr>
          </w:p>
        </w:tc>
      </w:tr>
      <w:tr>
        <w:trPr>
          <w:trHeight w:val="119"/>
        </w:trPr>
        <w:tc>
          <w:tcPr>
            <w:tcW w:w="3360" w:type="dxa"/>
            <w:vAlign w:val="bottom"/>
          </w:tcPr>
          <w:p>
            <w:pPr>
              <w:spacing w:after="0" w:line="119" w:lineRule="exact"/>
              <w:rPr>
                <w:sz w:val="20"/>
                <w:szCs w:val="20"/>
                <w:color w:val="auto"/>
              </w:rPr>
            </w:pPr>
            <w:r>
              <w:rPr>
                <w:rFonts w:ascii="Arial" w:cs="Arial" w:eastAsia="Arial" w:hAnsi="Arial"/>
                <w:sz w:val="13"/>
                <w:szCs w:val="13"/>
                <w:color w:val="auto"/>
              </w:rPr>
              <w:t>Other long-term liabilities</w:t>
            </w:r>
          </w:p>
        </w:tc>
        <w:tc>
          <w:tcPr>
            <w:tcW w:w="120" w:type="dxa"/>
            <w:vAlign w:val="bottom"/>
            <w:shd w:val="clear" w:color="auto" w:fill="DDDDDD"/>
          </w:tcPr>
          <w:p>
            <w:pPr>
              <w:spacing w:after="0"/>
              <w:rPr>
                <w:sz w:val="10"/>
                <w:szCs w:val="10"/>
                <w:color w:val="auto"/>
              </w:rPr>
            </w:pPr>
          </w:p>
        </w:tc>
        <w:tc>
          <w:tcPr>
            <w:tcW w:w="1180" w:type="dxa"/>
            <w:vAlign w:val="bottom"/>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1180" w:type="dxa"/>
            <w:vAlign w:val="bottom"/>
            <w:shd w:val="clear" w:color="auto" w:fill="DDDDDD"/>
          </w:tcPr>
          <w:p>
            <w:pPr>
              <w:spacing w:after="0"/>
              <w:rPr>
                <w:sz w:val="10"/>
                <w:szCs w:val="10"/>
                <w:color w:val="auto"/>
              </w:rPr>
            </w:pPr>
          </w:p>
        </w:tc>
        <w:tc>
          <w:tcPr>
            <w:tcW w:w="1440" w:type="dxa"/>
            <w:vAlign w:val="bottom"/>
            <w:shd w:val="clear" w:color="auto" w:fill="DDDDDD"/>
          </w:tcPr>
          <w:p>
            <w:pPr>
              <w:spacing w:after="0"/>
              <w:rPr>
                <w:sz w:val="10"/>
                <w:szCs w:val="10"/>
                <w:color w:val="auto"/>
              </w:rPr>
            </w:pPr>
          </w:p>
        </w:tc>
        <w:tc>
          <w:tcPr>
            <w:tcW w:w="1440" w:type="dxa"/>
            <w:vAlign w:val="bottom"/>
            <w:shd w:val="clear" w:color="auto" w:fill="DDDDDD"/>
          </w:tcPr>
          <w:p>
            <w:pPr>
              <w:spacing w:after="0"/>
              <w:rPr>
                <w:sz w:val="10"/>
                <w:szCs w:val="10"/>
                <w:color w:val="auto"/>
              </w:rPr>
            </w:pPr>
          </w:p>
        </w:tc>
        <w:tc>
          <w:tcPr>
            <w:tcW w:w="1260" w:type="dxa"/>
            <w:vAlign w:val="bottom"/>
            <w:shd w:val="clear" w:color="auto" w:fill="DDDDDD"/>
          </w:tcPr>
          <w:p>
            <w:pPr>
              <w:spacing w:after="0"/>
              <w:rPr>
                <w:sz w:val="10"/>
                <w:szCs w:val="10"/>
                <w:color w:val="auto"/>
              </w:rPr>
            </w:pPr>
          </w:p>
        </w:tc>
        <w:tc>
          <w:tcPr>
            <w:tcW w:w="1140" w:type="dxa"/>
            <w:vAlign w:val="bottom"/>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80"/>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shd w:val="clear" w:color="auto" w:fill="DDDDDD"/>
          </w:tcPr>
          <w:p>
            <w:pPr>
              <w:spacing w:after="0"/>
              <w:rPr>
                <w:sz w:val="12"/>
                <w:szCs w:val="12"/>
                <w:color w:val="auto"/>
              </w:rPr>
            </w:pPr>
          </w:p>
        </w:tc>
        <w:tc>
          <w:tcPr>
            <w:tcW w:w="118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DDDDDD"/>
          </w:tcPr>
          <w:p>
            <w:pPr>
              <w:spacing w:after="0"/>
              <w:rPr>
                <w:sz w:val="12"/>
                <w:szCs w:val="12"/>
                <w:color w:val="auto"/>
              </w:rPr>
            </w:pPr>
          </w:p>
        </w:tc>
        <w:tc>
          <w:tcPr>
            <w:tcW w:w="118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DDDDDD"/>
          </w:tcPr>
          <w:p>
            <w:pPr>
              <w:jc w:val="right"/>
              <w:ind w:right="128"/>
              <w:spacing w:after="0" w:line="149" w:lineRule="exact"/>
              <w:rPr>
                <w:sz w:val="20"/>
                <w:szCs w:val="20"/>
                <w:color w:val="auto"/>
              </w:rPr>
            </w:pPr>
            <w:r>
              <w:rPr>
                <w:rFonts w:ascii="Arial" w:cs="Arial" w:eastAsia="Arial" w:hAnsi="Arial"/>
                <w:sz w:val="14"/>
                <w:szCs w:val="14"/>
                <w:b w:val="1"/>
                <w:bCs w:val="1"/>
                <w:color w:val="auto"/>
              </w:rPr>
              <w:t>(1,087)</w:t>
            </w:r>
          </w:p>
        </w:tc>
        <w:tc>
          <w:tcPr>
            <w:tcW w:w="1440" w:type="dxa"/>
            <w:vAlign w:val="bottom"/>
            <w:shd w:val="clear" w:color="auto" w:fill="DDDDDD"/>
          </w:tcPr>
          <w:p>
            <w:pPr>
              <w:jc w:val="right"/>
              <w:ind w:right="268"/>
              <w:spacing w:after="0" w:line="149" w:lineRule="exact"/>
              <w:rPr>
                <w:sz w:val="20"/>
                <w:szCs w:val="20"/>
                <w:color w:val="auto"/>
              </w:rPr>
            </w:pPr>
            <w:r>
              <w:rPr>
                <w:rFonts w:ascii="Arial" w:cs="Arial" w:eastAsia="Arial" w:hAnsi="Arial"/>
                <w:sz w:val="14"/>
                <w:szCs w:val="14"/>
                <w:b w:val="1"/>
                <w:bCs w:val="1"/>
                <w:color w:val="auto"/>
              </w:rPr>
              <w:t>(1,087)</w:t>
            </w:r>
          </w:p>
        </w:tc>
        <w:tc>
          <w:tcPr>
            <w:tcW w:w="1260" w:type="dxa"/>
            <w:vAlign w:val="bottom"/>
            <w:shd w:val="clear" w:color="auto" w:fill="DDDDDD"/>
          </w:tcPr>
          <w:p>
            <w:pPr>
              <w:jc w:val="right"/>
              <w:ind w:right="268"/>
              <w:spacing w:after="0" w:line="149" w:lineRule="exact"/>
              <w:rPr>
                <w:sz w:val="20"/>
                <w:szCs w:val="20"/>
                <w:color w:val="auto"/>
              </w:rPr>
            </w:pPr>
            <w:r>
              <w:rPr>
                <w:rFonts w:ascii="Arial" w:cs="Arial" w:eastAsia="Arial" w:hAnsi="Arial"/>
                <w:sz w:val="14"/>
                <w:szCs w:val="14"/>
                <w:b w:val="1"/>
                <w:bCs w:val="1"/>
                <w:color w:val="auto"/>
              </w:rPr>
              <w:t>28</w:t>
            </w:r>
          </w:p>
        </w:tc>
        <w:tc>
          <w:tcPr>
            <w:tcW w:w="114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(1,059)</w:t>
            </w:r>
          </w:p>
        </w:tc>
        <w:tc>
          <w:tcPr>
            <w:tcW w:w="0" w:type="dxa"/>
            <w:vAlign w:val="bottom"/>
          </w:tcPr>
          <w:p>
            <w:pPr>
              <w:spacing w:after="0"/>
              <w:rPr>
                <w:sz w:val="1"/>
                <w:szCs w:val="1"/>
                <w:color w:val="auto"/>
              </w:rPr>
            </w:pPr>
          </w:p>
        </w:tc>
      </w:tr>
      <w:tr>
        <w:trPr>
          <w:trHeight w:val="148"/>
        </w:trPr>
        <w:tc>
          <w:tcPr>
            <w:tcW w:w="3360" w:type="dxa"/>
            <w:vAlign w:val="bottom"/>
          </w:tcPr>
          <w:p>
            <w:pPr>
              <w:ind w:left="80"/>
              <w:spacing w:after="0" w:line="149" w:lineRule="exact"/>
              <w:rPr>
                <w:sz w:val="20"/>
                <w:szCs w:val="20"/>
                <w:color w:val="auto"/>
              </w:rPr>
            </w:pPr>
            <w:r>
              <w:rPr>
                <w:rFonts w:ascii="Arial" w:cs="Arial" w:eastAsia="Arial" w:hAnsi="Arial"/>
                <w:sz w:val="14"/>
                <w:szCs w:val="14"/>
                <w:color w:val="auto"/>
              </w:rPr>
              <w:t>Interest rate contracts</w:t>
            </w:r>
          </w:p>
        </w:tc>
        <w:tc>
          <w:tcPr>
            <w:tcW w:w="120" w:type="dxa"/>
            <w:vAlign w:val="bottom"/>
            <w:shd w:val="clear" w:color="auto" w:fill="DDDDDD"/>
          </w:tcPr>
          <w:p>
            <w:pPr>
              <w:spacing w:after="0"/>
              <w:rPr>
                <w:sz w:val="12"/>
                <w:szCs w:val="12"/>
                <w:color w:val="auto"/>
              </w:rPr>
            </w:pPr>
          </w:p>
        </w:tc>
        <w:tc>
          <w:tcPr>
            <w:tcW w:w="118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(68)</w:t>
            </w:r>
          </w:p>
        </w:tc>
        <w:tc>
          <w:tcPr>
            <w:tcW w:w="1440" w:type="dxa"/>
            <w:vAlign w:val="bottom"/>
            <w:shd w:val="clear" w:color="auto" w:fill="DDDDDD"/>
          </w:tcPr>
          <w:p>
            <w:pPr>
              <w:jc w:val="right"/>
              <w:ind w:right="128"/>
              <w:spacing w:after="0" w:line="149" w:lineRule="exact"/>
              <w:rPr>
                <w:sz w:val="20"/>
                <w:szCs w:val="20"/>
                <w:color w:val="auto"/>
              </w:rPr>
            </w:pPr>
            <w:r>
              <w:rPr>
                <w:rFonts w:ascii="Arial" w:cs="Arial" w:eastAsia="Arial" w:hAnsi="Arial"/>
                <w:sz w:val="14"/>
                <w:szCs w:val="14"/>
                <w:b w:val="1"/>
                <w:bCs w:val="1"/>
                <w:color w:val="auto"/>
              </w:rPr>
              <w:t>(51)</w:t>
            </w:r>
          </w:p>
        </w:tc>
        <w:tc>
          <w:tcPr>
            <w:tcW w:w="1440" w:type="dxa"/>
            <w:vAlign w:val="bottom"/>
            <w:shd w:val="clear" w:color="auto" w:fill="DDDDDD"/>
          </w:tcPr>
          <w:p>
            <w:pPr>
              <w:jc w:val="right"/>
              <w:ind w:right="268"/>
              <w:spacing w:after="0" w:line="149" w:lineRule="exact"/>
              <w:rPr>
                <w:sz w:val="20"/>
                <w:szCs w:val="20"/>
                <w:color w:val="auto"/>
              </w:rPr>
            </w:pPr>
            <w:r>
              <w:rPr>
                <w:rFonts w:ascii="Arial" w:cs="Arial" w:eastAsia="Arial" w:hAnsi="Arial"/>
                <w:sz w:val="14"/>
                <w:szCs w:val="14"/>
                <w:b w:val="1"/>
                <w:bCs w:val="1"/>
                <w:color w:val="auto"/>
              </w:rPr>
              <w:t>(119)</w:t>
            </w:r>
          </w:p>
        </w:tc>
        <w:tc>
          <w:tcPr>
            <w:tcW w:w="1260" w:type="dxa"/>
            <w:vAlign w:val="bottom"/>
            <w:shd w:val="clear" w:color="auto" w:fill="DDDDDD"/>
          </w:tcPr>
          <w:p>
            <w:pPr>
              <w:jc w:val="right"/>
              <w:ind w:right="268"/>
              <w:spacing w:after="0" w:line="149" w:lineRule="exact"/>
              <w:rPr>
                <w:sz w:val="20"/>
                <w:szCs w:val="20"/>
                <w:color w:val="auto"/>
              </w:rPr>
            </w:pPr>
            <w:r>
              <w:rPr>
                <w:rFonts w:ascii="Arial" w:cs="Arial" w:eastAsia="Arial" w:hAnsi="Arial"/>
                <w:sz w:val="14"/>
                <w:szCs w:val="14"/>
                <w:b w:val="1"/>
                <w:bCs w:val="1"/>
                <w:color w:val="auto"/>
              </w:rPr>
              <w:t>52</w:t>
            </w:r>
          </w:p>
        </w:tc>
        <w:tc>
          <w:tcPr>
            <w:tcW w:w="114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Commodity contracts</w:t>
            </w:r>
          </w:p>
        </w:tc>
        <w:tc>
          <w:tcPr>
            <w:tcW w:w="120" w:type="dxa"/>
            <w:vAlign w:val="bottom"/>
            <w:tcBorders>
              <w:bottom w:val="single" w:sz="8" w:color="auto"/>
            </w:tcBorders>
            <w:shd w:val="clear" w:color="auto" w:fill="DDDDDD"/>
          </w:tcPr>
          <w:p>
            <w:pPr>
              <w:spacing w:after="0"/>
              <w:rPr>
                <w:sz w:val="14"/>
                <w:szCs w:val="14"/>
                <w:color w:val="auto"/>
              </w:rPr>
            </w:pPr>
          </w:p>
        </w:tc>
        <w:tc>
          <w:tcPr>
            <w:tcW w:w="118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DDDDDD"/>
          </w:tcPr>
          <w:p>
            <w:pPr>
              <w:spacing w:after="0"/>
              <w:rPr>
                <w:sz w:val="14"/>
                <w:szCs w:val="14"/>
                <w:color w:val="auto"/>
              </w:rPr>
            </w:pPr>
          </w:p>
        </w:tc>
        <w:tc>
          <w:tcPr>
            <w:tcW w:w="118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DDDDDD"/>
          </w:tcPr>
          <w:p>
            <w:pPr>
              <w:jc w:val="right"/>
              <w:ind w:right="128"/>
              <w:spacing w:after="0"/>
              <w:rPr>
                <w:sz w:val="20"/>
                <w:szCs w:val="20"/>
                <w:color w:val="auto"/>
              </w:rPr>
            </w:pPr>
            <w:r>
              <w:rPr>
                <w:rFonts w:ascii="Arial" w:cs="Arial" w:eastAsia="Arial" w:hAnsi="Arial"/>
                <w:sz w:val="14"/>
                <w:szCs w:val="14"/>
                <w:b w:val="1"/>
                <w:bCs w:val="1"/>
                <w:color w:val="auto"/>
              </w:rPr>
              <w:t>(113)</w:t>
            </w:r>
          </w:p>
        </w:tc>
        <w:tc>
          <w:tcPr>
            <w:tcW w:w="1440" w:type="dxa"/>
            <w:vAlign w:val="bottom"/>
            <w:tcBorders>
              <w:bottom w:val="single" w:sz="8" w:color="auto"/>
            </w:tcBorders>
            <w:shd w:val="clear" w:color="auto" w:fill="DDDDDD"/>
          </w:tcPr>
          <w:p>
            <w:pPr>
              <w:jc w:val="right"/>
              <w:ind w:right="268"/>
              <w:spacing w:after="0"/>
              <w:rPr>
                <w:sz w:val="20"/>
                <w:szCs w:val="20"/>
                <w:color w:val="auto"/>
              </w:rPr>
            </w:pPr>
            <w:r>
              <w:rPr>
                <w:rFonts w:ascii="Arial" w:cs="Arial" w:eastAsia="Arial" w:hAnsi="Arial"/>
                <w:sz w:val="14"/>
                <w:szCs w:val="14"/>
                <w:b w:val="1"/>
                <w:bCs w:val="1"/>
                <w:color w:val="auto"/>
              </w:rPr>
              <w:t>(113)</w:t>
            </w:r>
          </w:p>
        </w:tc>
        <w:tc>
          <w:tcPr>
            <w:tcW w:w="1260" w:type="dxa"/>
            <w:vAlign w:val="bottom"/>
            <w:tcBorders>
              <w:bottom w:val="single" w:sz="8" w:color="auto"/>
            </w:tcBorders>
            <w:shd w:val="clear" w:color="auto" w:fill="DDDDDD"/>
          </w:tcPr>
          <w:p>
            <w:pPr>
              <w:jc w:val="right"/>
              <w:ind w:right="268"/>
              <w:spacing w:after="0"/>
              <w:rPr>
                <w:sz w:val="20"/>
                <w:szCs w:val="20"/>
                <w:color w:val="auto"/>
              </w:rPr>
            </w:pPr>
            <w:r>
              <w:rPr>
                <w:rFonts w:ascii="Arial" w:cs="Arial" w:eastAsia="Arial" w:hAnsi="Arial"/>
                <w:sz w:val="14"/>
                <w:szCs w:val="14"/>
                <w:b w:val="1"/>
                <w:bCs w:val="1"/>
                <w:color w:val="auto"/>
              </w:rPr>
              <w:t>27</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shd w:val="clear" w:color="auto" w:fill="DDDDDD"/>
          </w:tcPr>
          <w:p>
            <w:pPr>
              <w:spacing w:after="0"/>
              <w:rPr>
                <w:sz w:val="12"/>
                <w:szCs w:val="12"/>
                <w:color w:val="auto"/>
              </w:rPr>
            </w:pPr>
          </w:p>
        </w:tc>
        <w:tc>
          <w:tcPr>
            <w:tcW w:w="1180" w:type="dxa"/>
            <w:vAlign w:val="bottom"/>
            <w:tcBorders>
              <w:bottom w:val="single" w:sz="8" w:color="auto"/>
            </w:tcBorders>
            <w:shd w:val="clear" w:color="auto" w:fill="DDDDDD"/>
          </w:tcPr>
          <w:p>
            <w:pPr>
              <w:jc w:val="right"/>
              <w:ind w:right="48"/>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gridSpan w:val="2"/>
            <w:shd w:val="clear" w:color="auto" w:fill="DDDDDD"/>
          </w:tcPr>
          <w:p>
            <w:pPr>
              <w:jc w:val="right"/>
              <w:spacing w:after="0" w:line="142" w:lineRule="exact"/>
              <w:rPr>
                <w:sz w:val="20"/>
                <w:szCs w:val="20"/>
                <w:color w:val="auto"/>
              </w:rPr>
            </w:pPr>
            <w:r>
              <w:rPr>
                <w:rFonts w:ascii="Arial" w:cs="Arial" w:eastAsia="Arial" w:hAnsi="Arial"/>
                <w:sz w:val="14"/>
                <w:szCs w:val="14"/>
                <w:b w:val="1"/>
                <w:bCs w:val="1"/>
                <w:color w:val="auto"/>
              </w:rPr>
              <w:t>(68)</w:t>
            </w:r>
          </w:p>
        </w:tc>
        <w:tc>
          <w:tcPr>
            <w:tcW w:w="1440" w:type="dxa"/>
            <w:vAlign w:val="bottom"/>
            <w:tcBorders>
              <w:bottom w:val="single" w:sz="8" w:color="auto"/>
            </w:tcBorders>
            <w:shd w:val="clear" w:color="auto" w:fill="DDDDDD"/>
          </w:tcPr>
          <w:p>
            <w:pPr>
              <w:jc w:val="right"/>
              <w:ind w:right="128"/>
              <w:spacing w:after="0" w:line="142" w:lineRule="exact"/>
              <w:rPr>
                <w:sz w:val="20"/>
                <w:szCs w:val="20"/>
                <w:color w:val="auto"/>
              </w:rPr>
            </w:pPr>
            <w:r>
              <w:rPr>
                <w:rFonts w:ascii="Arial" w:cs="Arial" w:eastAsia="Arial" w:hAnsi="Arial"/>
                <w:sz w:val="14"/>
                <w:szCs w:val="14"/>
                <w:b w:val="1"/>
                <w:bCs w:val="1"/>
                <w:color w:val="auto"/>
              </w:rPr>
              <w:t>(1,251)</w:t>
            </w:r>
          </w:p>
        </w:tc>
        <w:tc>
          <w:tcPr>
            <w:tcW w:w="1440" w:type="dxa"/>
            <w:vAlign w:val="bottom"/>
            <w:tcBorders>
              <w:bottom w:val="single" w:sz="8" w:color="auto"/>
            </w:tcBorders>
            <w:shd w:val="clear" w:color="auto" w:fill="DDDDDD"/>
          </w:tcPr>
          <w:p>
            <w:pPr>
              <w:jc w:val="right"/>
              <w:ind w:right="268"/>
              <w:spacing w:after="0" w:line="142" w:lineRule="exact"/>
              <w:rPr>
                <w:sz w:val="20"/>
                <w:szCs w:val="20"/>
                <w:color w:val="auto"/>
              </w:rPr>
            </w:pPr>
            <w:r>
              <w:rPr>
                <w:rFonts w:ascii="Arial" w:cs="Arial" w:eastAsia="Arial" w:hAnsi="Arial"/>
                <w:sz w:val="14"/>
                <w:szCs w:val="14"/>
                <w:b w:val="1"/>
                <w:bCs w:val="1"/>
                <w:color w:val="auto"/>
              </w:rPr>
              <w:t>(1,319)</w:t>
            </w:r>
          </w:p>
        </w:tc>
        <w:tc>
          <w:tcPr>
            <w:tcW w:w="1260" w:type="dxa"/>
            <w:vAlign w:val="bottom"/>
            <w:tcBorders>
              <w:bottom w:val="single" w:sz="8" w:color="auto"/>
            </w:tcBorders>
            <w:shd w:val="clear" w:color="auto" w:fill="DDDDDD"/>
          </w:tcPr>
          <w:p>
            <w:pPr>
              <w:jc w:val="right"/>
              <w:ind w:right="268"/>
              <w:spacing w:after="0" w:line="142" w:lineRule="exact"/>
              <w:rPr>
                <w:sz w:val="20"/>
                <w:szCs w:val="20"/>
                <w:color w:val="auto"/>
              </w:rPr>
            </w:pPr>
            <w:r>
              <w:rPr>
                <w:rFonts w:ascii="Arial" w:cs="Arial" w:eastAsia="Arial" w:hAnsi="Arial"/>
                <w:sz w:val="14"/>
                <w:szCs w:val="14"/>
                <w:b w:val="1"/>
                <w:bCs w:val="1"/>
                <w:color w:val="auto"/>
              </w:rPr>
              <w:t>107</w:t>
            </w:r>
          </w:p>
        </w:tc>
        <w:tc>
          <w:tcPr>
            <w:tcW w:w="1140" w:type="dxa"/>
            <w:vAlign w:val="bottom"/>
            <w:tcBorders>
              <w:bottom w:val="single" w:sz="8" w:color="auto"/>
            </w:tcBorders>
            <w:shd w:val="clear" w:color="auto" w:fill="DDDDDD"/>
          </w:tcPr>
          <w:p>
            <w:pPr>
              <w:jc w:val="right"/>
              <w:spacing w:after="0" w:line="142" w:lineRule="exact"/>
              <w:rPr>
                <w:sz w:val="20"/>
                <w:szCs w:val="20"/>
                <w:color w:val="auto"/>
              </w:rPr>
            </w:pPr>
            <w:r>
              <w:rPr>
                <w:rFonts w:ascii="Arial" w:cs="Arial" w:eastAsia="Arial" w:hAnsi="Arial"/>
                <w:sz w:val="14"/>
                <w:szCs w:val="14"/>
                <w:b w:val="1"/>
                <w:bCs w:val="1"/>
                <w:color w:val="auto"/>
              </w:rPr>
              <w:t>(1,212)</w:t>
            </w:r>
          </w:p>
        </w:tc>
        <w:tc>
          <w:tcPr>
            <w:tcW w:w="0" w:type="dxa"/>
            <w:vAlign w:val="bottom"/>
          </w:tcPr>
          <w:p>
            <w:pPr>
              <w:spacing w:after="0"/>
              <w:rPr>
                <w:sz w:val="1"/>
                <w:szCs w:val="1"/>
                <w:color w:val="auto"/>
              </w:rPr>
            </w:pPr>
          </w:p>
        </w:tc>
      </w:tr>
      <w:tr>
        <w:trPr>
          <w:trHeight w:val="119"/>
        </w:trPr>
        <w:tc>
          <w:tcPr>
            <w:tcW w:w="3360" w:type="dxa"/>
            <w:vAlign w:val="bottom"/>
          </w:tcPr>
          <w:p>
            <w:pPr>
              <w:spacing w:after="0" w:line="119" w:lineRule="exact"/>
              <w:rPr>
                <w:sz w:val="20"/>
                <w:szCs w:val="20"/>
                <w:color w:val="auto"/>
              </w:rPr>
            </w:pPr>
            <w:r>
              <w:rPr>
                <w:rFonts w:ascii="Arial" w:cs="Arial" w:eastAsia="Arial" w:hAnsi="Arial"/>
                <w:sz w:val="13"/>
                <w:szCs w:val="13"/>
                <w:color w:val="auto"/>
              </w:rPr>
              <w:t>Total net derivative asset/(liability)</w:t>
            </w:r>
          </w:p>
        </w:tc>
        <w:tc>
          <w:tcPr>
            <w:tcW w:w="120" w:type="dxa"/>
            <w:vAlign w:val="bottom"/>
            <w:shd w:val="clear" w:color="auto" w:fill="DDDDDD"/>
          </w:tcPr>
          <w:p>
            <w:pPr>
              <w:spacing w:after="0"/>
              <w:rPr>
                <w:sz w:val="10"/>
                <w:szCs w:val="10"/>
                <w:color w:val="auto"/>
              </w:rPr>
            </w:pPr>
          </w:p>
        </w:tc>
        <w:tc>
          <w:tcPr>
            <w:tcW w:w="1180" w:type="dxa"/>
            <w:vAlign w:val="bottom"/>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1180" w:type="dxa"/>
            <w:vAlign w:val="bottom"/>
            <w:shd w:val="clear" w:color="auto" w:fill="DDDDDD"/>
          </w:tcPr>
          <w:p>
            <w:pPr>
              <w:spacing w:after="0"/>
              <w:rPr>
                <w:sz w:val="10"/>
                <w:szCs w:val="10"/>
                <w:color w:val="auto"/>
              </w:rPr>
            </w:pPr>
          </w:p>
        </w:tc>
        <w:tc>
          <w:tcPr>
            <w:tcW w:w="1440" w:type="dxa"/>
            <w:vAlign w:val="bottom"/>
            <w:shd w:val="clear" w:color="auto" w:fill="DDDDDD"/>
          </w:tcPr>
          <w:p>
            <w:pPr>
              <w:spacing w:after="0"/>
              <w:rPr>
                <w:sz w:val="10"/>
                <w:szCs w:val="10"/>
                <w:color w:val="auto"/>
              </w:rPr>
            </w:pPr>
          </w:p>
        </w:tc>
        <w:tc>
          <w:tcPr>
            <w:tcW w:w="1440" w:type="dxa"/>
            <w:vAlign w:val="bottom"/>
            <w:shd w:val="clear" w:color="auto" w:fill="DDDDDD"/>
          </w:tcPr>
          <w:p>
            <w:pPr>
              <w:spacing w:after="0"/>
              <w:rPr>
                <w:sz w:val="10"/>
                <w:szCs w:val="10"/>
                <w:color w:val="auto"/>
              </w:rPr>
            </w:pPr>
          </w:p>
        </w:tc>
        <w:tc>
          <w:tcPr>
            <w:tcW w:w="1260" w:type="dxa"/>
            <w:vAlign w:val="bottom"/>
            <w:shd w:val="clear" w:color="auto" w:fill="DDDDDD"/>
          </w:tcPr>
          <w:p>
            <w:pPr>
              <w:spacing w:after="0"/>
              <w:rPr>
                <w:sz w:val="10"/>
                <w:szCs w:val="10"/>
                <w:color w:val="auto"/>
              </w:rPr>
            </w:pPr>
          </w:p>
        </w:tc>
        <w:tc>
          <w:tcPr>
            <w:tcW w:w="1140" w:type="dxa"/>
            <w:vAlign w:val="bottom"/>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80"/>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shd w:val="clear" w:color="auto" w:fill="DDDDDD"/>
          </w:tcPr>
          <w:p>
            <w:pPr>
              <w:spacing w:after="0"/>
              <w:rPr>
                <w:sz w:val="12"/>
                <w:szCs w:val="12"/>
                <w:color w:val="auto"/>
              </w:rPr>
            </w:pPr>
          </w:p>
        </w:tc>
        <w:tc>
          <w:tcPr>
            <w:tcW w:w="118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DDDDDD"/>
          </w:tcPr>
          <w:p>
            <w:pPr>
              <w:spacing w:after="0"/>
              <w:rPr>
                <w:sz w:val="12"/>
                <w:szCs w:val="12"/>
                <w:color w:val="auto"/>
              </w:rPr>
            </w:pPr>
          </w:p>
        </w:tc>
        <w:tc>
          <w:tcPr>
            <w:tcW w:w="118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DDDDDD"/>
          </w:tcPr>
          <w:p>
            <w:pPr>
              <w:jc w:val="right"/>
              <w:ind w:right="128"/>
              <w:spacing w:after="0" w:line="149" w:lineRule="exact"/>
              <w:rPr>
                <w:sz w:val="20"/>
                <w:szCs w:val="20"/>
                <w:color w:val="auto"/>
              </w:rPr>
            </w:pPr>
            <w:r>
              <w:rPr>
                <w:rFonts w:ascii="Arial" w:cs="Arial" w:eastAsia="Arial" w:hAnsi="Arial"/>
                <w:sz w:val="14"/>
                <w:szCs w:val="14"/>
                <w:b w:val="1"/>
                <w:bCs w:val="1"/>
                <w:color w:val="auto"/>
              </w:rPr>
              <w:t>(1,532)</w:t>
            </w:r>
          </w:p>
        </w:tc>
        <w:tc>
          <w:tcPr>
            <w:tcW w:w="1440" w:type="dxa"/>
            <w:vAlign w:val="bottom"/>
            <w:shd w:val="clear" w:color="auto" w:fill="DDDDDD"/>
          </w:tcPr>
          <w:p>
            <w:pPr>
              <w:jc w:val="right"/>
              <w:ind w:right="268"/>
              <w:spacing w:after="0" w:line="149" w:lineRule="exact"/>
              <w:rPr>
                <w:sz w:val="20"/>
                <w:szCs w:val="20"/>
                <w:color w:val="auto"/>
              </w:rPr>
            </w:pPr>
            <w:r>
              <w:rPr>
                <w:rFonts w:ascii="Arial" w:cs="Arial" w:eastAsia="Arial" w:hAnsi="Arial"/>
                <w:sz w:val="14"/>
                <w:szCs w:val="14"/>
                <w:b w:val="1"/>
                <w:bCs w:val="1"/>
                <w:color w:val="auto"/>
              </w:rPr>
              <w:t>(1,532)</w:t>
            </w:r>
          </w:p>
        </w:tc>
        <w:tc>
          <w:tcPr>
            <w:tcW w:w="1260" w:type="dxa"/>
            <w:vAlign w:val="bottom"/>
            <w:shd w:val="clear" w:color="auto" w:fill="DDDDDD"/>
          </w:tcPr>
          <w:p>
            <w:pPr>
              <w:jc w:val="right"/>
              <w:ind w:right="268"/>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(1,532)</w:t>
            </w:r>
          </w:p>
        </w:tc>
        <w:tc>
          <w:tcPr>
            <w:tcW w:w="0" w:type="dxa"/>
            <w:vAlign w:val="bottom"/>
          </w:tcPr>
          <w:p>
            <w:pPr>
              <w:spacing w:after="0"/>
              <w:rPr>
                <w:sz w:val="1"/>
                <w:szCs w:val="1"/>
                <w:color w:val="auto"/>
              </w:rPr>
            </w:pPr>
          </w:p>
        </w:tc>
      </w:tr>
      <w:tr>
        <w:trPr>
          <w:trHeight w:val="148"/>
        </w:trPr>
        <w:tc>
          <w:tcPr>
            <w:tcW w:w="3360" w:type="dxa"/>
            <w:vAlign w:val="bottom"/>
          </w:tcPr>
          <w:p>
            <w:pPr>
              <w:ind w:left="80"/>
              <w:spacing w:after="0" w:line="149" w:lineRule="exact"/>
              <w:rPr>
                <w:sz w:val="20"/>
                <w:szCs w:val="20"/>
                <w:color w:val="auto"/>
              </w:rPr>
            </w:pPr>
            <w:r>
              <w:rPr>
                <w:rFonts w:ascii="Arial" w:cs="Arial" w:eastAsia="Arial" w:hAnsi="Arial"/>
                <w:sz w:val="14"/>
                <w:szCs w:val="14"/>
                <w:color w:val="auto"/>
              </w:rPr>
              <w:t>Interest rate contracts</w:t>
            </w:r>
          </w:p>
        </w:tc>
        <w:tc>
          <w:tcPr>
            <w:tcW w:w="120" w:type="dxa"/>
            <w:vAlign w:val="bottom"/>
            <w:shd w:val="clear" w:color="auto" w:fill="DDDDDD"/>
          </w:tcPr>
          <w:p>
            <w:pPr>
              <w:spacing w:after="0"/>
              <w:rPr>
                <w:sz w:val="12"/>
                <w:szCs w:val="12"/>
                <w:color w:val="auto"/>
              </w:rPr>
            </w:pPr>
          </w:p>
        </w:tc>
        <w:tc>
          <w:tcPr>
            <w:tcW w:w="118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47</w:t>
            </w:r>
          </w:p>
        </w:tc>
        <w:tc>
          <w:tcPr>
            <w:tcW w:w="1300" w:type="dxa"/>
            <w:vAlign w:val="bottom"/>
            <w:gridSpan w:val="2"/>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(51)</w:t>
            </w:r>
          </w:p>
        </w:tc>
        <w:tc>
          <w:tcPr>
            <w:tcW w:w="1440" w:type="dxa"/>
            <w:vAlign w:val="bottom"/>
            <w:shd w:val="clear" w:color="auto" w:fill="DDDDDD"/>
          </w:tcPr>
          <w:p>
            <w:pPr>
              <w:jc w:val="right"/>
              <w:ind w:right="188"/>
              <w:spacing w:after="0" w:line="149" w:lineRule="exact"/>
              <w:rPr>
                <w:sz w:val="20"/>
                <w:szCs w:val="20"/>
                <w:color w:val="auto"/>
              </w:rPr>
            </w:pPr>
            <w:r>
              <w:rPr>
                <w:rFonts w:ascii="Arial" w:cs="Arial" w:eastAsia="Arial" w:hAnsi="Arial"/>
                <w:sz w:val="14"/>
                <w:szCs w:val="14"/>
                <w:b w:val="1"/>
                <w:bCs w:val="1"/>
                <w:color w:val="auto"/>
              </w:rPr>
              <w:t>73</w:t>
            </w:r>
          </w:p>
        </w:tc>
        <w:tc>
          <w:tcPr>
            <w:tcW w:w="1440" w:type="dxa"/>
            <w:vAlign w:val="bottom"/>
            <w:shd w:val="clear" w:color="auto" w:fill="DDDDDD"/>
          </w:tcPr>
          <w:p>
            <w:pPr>
              <w:jc w:val="right"/>
              <w:ind w:right="328"/>
              <w:spacing w:after="0" w:line="149" w:lineRule="exact"/>
              <w:rPr>
                <w:sz w:val="20"/>
                <w:szCs w:val="20"/>
                <w:color w:val="auto"/>
              </w:rPr>
            </w:pPr>
            <w:r>
              <w:rPr>
                <w:rFonts w:ascii="Arial" w:cs="Arial" w:eastAsia="Arial" w:hAnsi="Arial"/>
                <w:sz w:val="14"/>
                <w:szCs w:val="14"/>
                <w:b w:val="1"/>
                <w:bCs w:val="1"/>
                <w:color w:val="auto"/>
              </w:rPr>
              <w:t>69</w:t>
            </w:r>
          </w:p>
        </w:tc>
        <w:tc>
          <w:tcPr>
            <w:tcW w:w="1260" w:type="dxa"/>
            <w:vAlign w:val="bottom"/>
            <w:shd w:val="clear" w:color="auto" w:fill="DDDDDD"/>
          </w:tcPr>
          <w:p>
            <w:pPr>
              <w:jc w:val="right"/>
              <w:ind w:right="268"/>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DDDDDD"/>
          </w:tcPr>
          <w:p>
            <w:pPr>
              <w:jc w:val="right"/>
              <w:ind w:right="48"/>
              <w:spacing w:after="0" w:line="149" w:lineRule="exact"/>
              <w:rPr>
                <w:sz w:val="20"/>
                <w:szCs w:val="20"/>
                <w:color w:val="auto"/>
              </w:rPr>
            </w:pPr>
            <w:r>
              <w:rPr>
                <w:rFonts w:ascii="Arial" w:cs="Arial" w:eastAsia="Arial" w:hAnsi="Arial"/>
                <w:sz w:val="14"/>
                <w:szCs w:val="14"/>
                <w:b w:val="1"/>
                <w:bCs w:val="1"/>
                <w:color w:val="auto"/>
              </w:rPr>
              <w:t>69</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Commodity contracts</w:t>
            </w:r>
          </w:p>
        </w:tc>
        <w:tc>
          <w:tcPr>
            <w:tcW w:w="120" w:type="dxa"/>
            <w:vAlign w:val="bottom"/>
            <w:tcBorders>
              <w:bottom w:val="single" w:sz="8" w:color="auto"/>
            </w:tcBorders>
            <w:shd w:val="clear" w:color="auto" w:fill="DDDDDD"/>
          </w:tcPr>
          <w:p>
            <w:pPr>
              <w:spacing w:after="0"/>
              <w:rPr>
                <w:sz w:val="14"/>
                <w:szCs w:val="14"/>
                <w:color w:val="auto"/>
              </w:rPr>
            </w:pPr>
          </w:p>
        </w:tc>
        <w:tc>
          <w:tcPr>
            <w:tcW w:w="118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DDDDDD"/>
          </w:tcPr>
          <w:p>
            <w:pPr>
              <w:spacing w:after="0"/>
              <w:rPr>
                <w:sz w:val="14"/>
                <w:szCs w:val="14"/>
                <w:color w:val="auto"/>
              </w:rPr>
            </w:pPr>
          </w:p>
        </w:tc>
        <w:tc>
          <w:tcPr>
            <w:tcW w:w="118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DDDDDD"/>
          </w:tcPr>
          <w:p>
            <w:pPr>
              <w:jc w:val="right"/>
              <w:ind w:right="128"/>
              <w:spacing w:after="0"/>
              <w:rPr>
                <w:sz w:val="20"/>
                <w:szCs w:val="20"/>
                <w:color w:val="auto"/>
              </w:rPr>
            </w:pPr>
            <w:r>
              <w:rPr>
                <w:rFonts w:ascii="Arial" w:cs="Arial" w:eastAsia="Arial" w:hAnsi="Arial"/>
                <w:sz w:val="14"/>
                <w:szCs w:val="14"/>
                <w:b w:val="1"/>
                <w:bCs w:val="1"/>
                <w:color w:val="auto"/>
              </w:rPr>
              <w:t>(365)</w:t>
            </w:r>
          </w:p>
        </w:tc>
        <w:tc>
          <w:tcPr>
            <w:tcW w:w="1440" w:type="dxa"/>
            <w:vAlign w:val="bottom"/>
            <w:tcBorders>
              <w:bottom w:val="single" w:sz="8" w:color="auto"/>
            </w:tcBorders>
            <w:shd w:val="clear" w:color="auto" w:fill="DDDDDD"/>
          </w:tcPr>
          <w:p>
            <w:pPr>
              <w:jc w:val="right"/>
              <w:ind w:right="268"/>
              <w:spacing w:after="0"/>
              <w:rPr>
                <w:sz w:val="20"/>
                <w:szCs w:val="20"/>
                <w:color w:val="auto"/>
              </w:rPr>
            </w:pPr>
            <w:r>
              <w:rPr>
                <w:rFonts w:ascii="Arial" w:cs="Arial" w:eastAsia="Arial" w:hAnsi="Arial"/>
                <w:sz w:val="14"/>
                <w:szCs w:val="14"/>
                <w:b w:val="1"/>
                <w:bCs w:val="1"/>
                <w:color w:val="auto"/>
              </w:rPr>
              <w:t>(365)</w:t>
            </w:r>
          </w:p>
        </w:tc>
        <w:tc>
          <w:tcPr>
            <w:tcW w:w="1260" w:type="dxa"/>
            <w:vAlign w:val="bottom"/>
            <w:tcBorders>
              <w:bottom w:val="single" w:sz="8" w:color="auto"/>
            </w:tcBorders>
            <w:shd w:val="clear" w:color="auto" w:fill="DDDDDD"/>
          </w:tcPr>
          <w:p>
            <w:pPr>
              <w:jc w:val="right"/>
              <w:ind w:right="2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auto"/>
              </w:rPr>
              <w:t>(365)</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shd w:val="clear" w:color="auto" w:fill="DDDDDD"/>
          </w:tcPr>
          <w:p>
            <w:pPr>
              <w:spacing w:after="0"/>
              <w:rPr>
                <w:sz w:val="12"/>
                <w:szCs w:val="12"/>
                <w:color w:val="auto"/>
              </w:rPr>
            </w:pPr>
          </w:p>
        </w:tc>
        <w:tc>
          <w:tcPr>
            <w:tcW w:w="1180" w:type="dxa"/>
            <w:vAlign w:val="bottom"/>
            <w:tcBorders>
              <w:bottom w:val="single" w:sz="8" w:color="auto"/>
            </w:tcBorders>
            <w:shd w:val="clear" w:color="auto" w:fill="DDDDDD"/>
          </w:tcPr>
          <w:p>
            <w:pPr>
              <w:jc w:val="right"/>
              <w:ind w:right="48"/>
              <w:spacing w:after="0" w:line="142" w:lineRule="exact"/>
              <w:rPr>
                <w:sz w:val="20"/>
                <w:szCs w:val="20"/>
                <w:color w:val="auto"/>
              </w:rPr>
            </w:pPr>
            <w:r>
              <w:rPr>
                <w:rFonts w:ascii="Arial" w:cs="Arial" w:eastAsia="Arial" w:hAnsi="Arial"/>
                <w:sz w:val="14"/>
                <w:szCs w:val="14"/>
                <w:b w:val="1"/>
                <w:bCs w:val="1"/>
                <w:color w:val="auto"/>
              </w:rPr>
              <w:t>47</w:t>
            </w:r>
          </w:p>
        </w:tc>
        <w:tc>
          <w:tcPr>
            <w:tcW w:w="1300" w:type="dxa"/>
            <w:vAlign w:val="bottom"/>
            <w:tcBorders>
              <w:bottom w:val="single" w:sz="8" w:color="auto"/>
            </w:tcBorders>
            <w:gridSpan w:val="2"/>
            <w:shd w:val="clear" w:color="auto" w:fill="DDDDDD"/>
          </w:tcPr>
          <w:p>
            <w:pPr>
              <w:jc w:val="right"/>
              <w:spacing w:after="0" w:line="142" w:lineRule="exact"/>
              <w:rPr>
                <w:sz w:val="20"/>
                <w:szCs w:val="20"/>
                <w:color w:val="auto"/>
              </w:rPr>
            </w:pPr>
            <w:r>
              <w:rPr>
                <w:rFonts w:ascii="Arial" w:cs="Arial" w:eastAsia="Arial" w:hAnsi="Arial"/>
                <w:sz w:val="14"/>
                <w:szCs w:val="14"/>
                <w:b w:val="1"/>
                <w:bCs w:val="1"/>
                <w:color w:val="auto"/>
              </w:rPr>
              <w:t>(51)</w:t>
            </w:r>
          </w:p>
        </w:tc>
        <w:tc>
          <w:tcPr>
            <w:tcW w:w="1440" w:type="dxa"/>
            <w:vAlign w:val="bottom"/>
            <w:tcBorders>
              <w:bottom w:val="single" w:sz="8" w:color="auto"/>
            </w:tcBorders>
            <w:shd w:val="clear" w:color="auto" w:fill="DDDDDD"/>
          </w:tcPr>
          <w:p>
            <w:pPr>
              <w:jc w:val="right"/>
              <w:ind w:right="128"/>
              <w:spacing w:after="0" w:line="142" w:lineRule="exact"/>
              <w:rPr>
                <w:sz w:val="20"/>
                <w:szCs w:val="20"/>
                <w:color w:val="auto"/>
              </w:rPr>
            </w:pPr>
            <w:r>
              <w:rPr>
                <w:rFonts w:ascii="Arial" w:cs="Arial" w:eastAsia="Arial" w:hAnsi="Arial"/>
                <w:sz w:val="14"/>
                <w:szCs w:val="14"/>
                <w:b w:val="1"/>
                <w:bCs w:val="1"/>
                <w:color w:val="auto"/>
              </w:rPr>
              <w:t>(1,824)</w:t>
            </w:r>
          </w:p>
        </w:tc>
        <w:tc>
          <w:tcPr>
            <w:tcW w:w="1440" w:type="dxa"/>
            <w:vAlign w:val="bottom"/>
            <w:tcBorders>
              <w:bottom w:val="single" w:sz="8" w:color="auto"/>
            </w:tcBorders>
            <w:shd w:val="clear" w:color="auto" w:fill="DDDDDD"/>
          </w:tcPr>
          <w:p>
            <w:pPr>
              <w:jc w:val="right"/>
              <w:ind w:right="268"/>
              <w:spacing w:after="0" w:line="142" w:lineRule="exact"/>
              <w:rPr>
                <w:sz w:val="20"/>
                <w:szCs w:val="20"/>
                <w:color w:val="auto"/>
              </w:rPr>
            </w:pPr>
            <w:r>
              <w:rPr>
                <w:rFonts w:ascii="Arial" w:cs="Arial" w:eastAsia="Arial" w:hAnsi="Arial"/>
                <w:sz w:val="14"/>
                <w:szCs w:val="14"/>
                <w:b w:val="1"/>
                <w:bCs w:val="1"/>
                <w:color w:val="auto"/>
              </w:rPr>
              <w:t>(1,828)</w:t>
            </w:r>
          </w:p>
        </w:tc>
        <w:tc>
          <w:tcPr>
            <w:tcW w:w="1260" w:type="dxa"/>
            <w:vAlign w:val="bottom"/>
            <w:tcBorders>
              <w:bottom w:val="single" w:sz="8" w:color="auto"/>
            </w:tcBorders>
            <w:shd w:val="clear" w:color="auto" w:fill="DDDDDD"/>
          </w:tcPr>
          <w:p>
            <w:pPr>
              <w:jc w:val="right"/>
              <w:ind w:right="268"/>
              <w:spacing w:after="0" w:line="142" w:lineRule="exact"/>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DDDDDD"/>
          </w:tcPr>
          <w:p>
            <w:pPr>
              <w:jc w:val="right"/>
              <w:spacing w:after="0" w:line="142" w:lineRule="exact"/>
              <w:rPr>
                <w:sz w:val="20"/>
                <w:szCs w:val="20"/>
                <w:color w:val="auto"/>
              </w:rPr>
            </w:pPr>
            <w:r>
              <w:rPr>
                <w:rFonts w:ascii="Arial" w:cs="Arial" w:eastAsia="Arial" w:hAnsi="Arial"/>
                <w:sz w:val="14"/>
                <w:szCs w:val="14"/>
                <w:b w:val="1"/>
                <w:bCs w:val="1"/>
                <w:color w:val="auto"/>
              </w:rPr>
              <w:t>(1,828)</w:t>
            </w:r>
          </w:p>
        </w:tc>
        <w:tc>
          <w:tcPr>
            <w:tcW w:w="0" w:type="dxa"/>
            <w:vAlign w:val="bottom"/>
          </w:tcPr>
          <w:p>
            <w:pPr>
              <w:spacing w:after="0"/>
              <w:rPr>
                <w:sz w:val="1"/>
                <w:szCs w:val="1"/>
                <w:color w:val="auto"/>
              </w:rPr>
            </w:pPr>
          </w:p>
        </w:tc>
      </w:tr>
      <w:tr>
        <w:trPr>
          <w:trHeight w:val="335"/>
        </w:trPr>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Derivative</w:t>
            </w:r>
          </w:p>
        </w:tc>
        <w:tc>
          <w:tcPr>
            <w:tcW w:w="120" w:type="dxa"/>
            <w:vAlign w:val="bottom"/>
          </w:tcPr>
          <w:p>
            <w:pPr>
              <w:spacing w:after="0"/>
              <w:rPr>
                <w:sz w:val="24"/>
                <w:szCs w:val="2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Derivative</w:t>
            </w:r>
          </w:p>
        </w:tc>
        <w:tc>
          <w:tcPr>
            <w:tcW w:w="1440" w:type="dxa"/>
            <w:vAlign w:val="bottom"/>
            <w:vMerge w:val="restart"/>
          </w:tcPr>
          <w:p>
            <w:pPr>
              <w:jc w:val="right"/>
              <w:ind w:right="188"/>
              <w:spacing w:after="0"/>
              <w:rPr>
                <w:sz w:val="20"/>
                <w:szCs w:val="20"/>
                <w:color w:val="auto"/>
              </w:rPr>
            </w:pPr>
            <w:r>
              <w:rPr>
                <w:rFonts w:ascii="Arial" w:cs="Arial" w:eastAsia="Arial" w:hAnsi="Arial"/>
                <w:sz w:val="14"/>
                <w:szCs w:val="14"/>
                <w:color w:val="auto"/>
              </w:rPr>
              <w:t>Non-</w:t>
            </w:r>
          </w:p>
        </w:tc>
        <w:tc>
          <w:tcPr>
            <w:tcW w:w="1440" w:type="dxa"/>
            <w:vAlign w:val="bottom"/>
            <w:vMerge w:val="restart"/>
          </w:tcPr>
          <w:p>
            <w:pPr>
              <w:jc w:val="right"/>
              <w:ind w:right="328"/>
              <w:spacing w:after="0"/>
              <w:rPr>
                <w:sz w:val="20"/>
                <w:szCs w:val="20"/>
                <w:color w:val="auto"/>
              </w:rPr>
            </w:pPr>
            <w:r>
              <w:rPr>
                <w:rFonts w:ascii="Arial" w:cs="Arial" w:eastAsia="Arial" w:hAnsi="Arial"/>
                <w:sz w:val="14"/>
                <w:szCs w:val="14"/>
                <w:color w:val="auto"/>
              </w:rPr>
              <w:t>Total Gross</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3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Instruments Used</w:t>
            </w:r>
          </w:p>
        </w:tc>
        <w:tc>
          <w:tcPr>
            <w:tcW w:w="120" w:type="dxa"/>
            <w:vAlign w:val="bottom"/>
          </w:tcPr>
          <w:p>
            <w:pPr>
              <w:spacing w:after="0"/>
              <w:rPr>
                <w:sz w:val="12"/>
                <w:szCs w:val="12"/>
                <w:color w:val="auto"/>
              </w:rPr>
            </w:pPr>
          </w:p>
        </w:tc>
        <w:tc>
          <w:tcPr>
            <w:tcW w:w="11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Instruments</w:t>
            </w:r>
          </w:p>
        </w:tc>
        <w:tc>
          <w:tcPr>
            <w:tcW w:w="14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260" w:type="dxa"/>
            <w:vAlign w:val="bottom"/>
            <w:vMerge w:val="restart"/>
          </w:tcPr>
          <w:p>
            <w:pPr>
              <w:jc w:val="right"/>
              <w:ind w:right="268"/>
              <w:spacing w:after="0"/>
              <w:rPr>
                <w:sz w:val="20"/>
                <w:szCs w:val="20"/>
                <w:color w:val="auto"/>
              </w:rPr>
            </w:pPr>
            <w:r>
              <w:rPr>
                <w:rFonts w:ascii="Arial" w:cs="Arial" w:eastAsia="Arial" w:hAnsi="Arial"/>
                <w:sz w:val="14"/>
                <w:szCs w:val="14"/>
                <w:color w:val="auto"/>
              </w:rPr>
              <w:t>Amounts</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Total Net</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as</w:t>
            </w:r>
          </w:p>
        </w:tc>
        <w:tc>
          <w:tcPr>
            <w:tcW w:w="120" w:type="dxa"/>
            <w:vAlign w:val="bottom"/>
          </w:tcPr>
          <w:p>
            <w:pPr>
              <w:spacing w:after="0"/>
              <w:rPr>
                <w:sz w:val="12"/>
                <w:szCs w:val="12"/>
                <w:color w:val="auto"/>
              </w:rPr>
            </w:pPr>
          </w:p>
        </w:tc>
        <w:tc>
          <w:tcPr>
            <w:tcW w:w="11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Used as</w:t>
            </w:r>
          </w:p>
        </w:tc>
        <w:tc>
          <w:tcPr>
            <w:tcW w:w="14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Qualifying</w:t>
            </w:r>
          </w:p>
        </w:tc>
        <w:tc>
          <w:tcPr>
            <w:tcW w:w="144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Derivative</w:t>
            </w:r>
          </w:p>
        </w:tc>
        <w:tc>
          <w:tcPr>
            <w:tcW w:w="126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Cash Flow</w:t>
            </w:r>
          </w:p>
        </w:tc>
        <w:tc>
          <w:tcPr>
            <w:tcW w:w="120" w:type="dxa"/>
            <w:vAlign w:val="bottom"/>
          </w:tcPr>
          <w:p>
            <w:pPr>
              <w:spacing w:after="0"/>
              <w:rPr>
                <w:sz w:val="12"/>
                <w:szCs w:val="12"/>
                <w:color w:val="auto"/>
              </w:rPr>
            </w:pPr>
          </w:p>
        </w:tc>
        <w:tc>
          <w:tcPr>
            <w:tcW w:w="11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Fair Value</w:t>
            </w:r>
          </w:p>
        </w:tc>
        <w:tc>
          <w:tcPr>
            <w:tcW w:w="14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Derivative</w:t>
            </w:r>
          </w:p>
        </w:tc>
        <w:tc>
          <w:tcPr>
            <w:tcW w:w="144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Instruments</w:t>
            </w:r>
          </w:p>
        </w:tc>
        <w:tc>
          <w:tcPr>
            <w:tcW w:w="12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Available</w:t>
            </w:r>
          </w:p>
        </w:tc>
        <w:tc>
          <w:tcPr>
            <w:tcW w:w="11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Derivative</w:t>
            </w:r>
          </w:p>
        </w:tc>
        <w:tc>
          <w:tcPr>
            <w:tcW w:w="0" w:type="dxa"/>
            <w:vAlign w:val="bottom"/>
          </w:tcPr>
          <w:p>
            <w:pPr>
              <w:spacing w:after="0"/>
              <w:rPr>
                <w:sz w:val="1"/>
                <w:szCs w:val="1"/>
                <w:color w:val="auto"/>
              </w:rPr>
            </w:pPr>
          </w:p>
        </w:tc>
      </w:tr>
      <w:tr>
        <w:trPr>
          <w:trHeight w:val="185"/>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2025</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Hedges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Hedges</w:t>
            </w: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Instruments</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as Presented</w:t>
            </w:r>
          </w:p>
        </w:tc>
        <w:tc>
          <w:tcPr>
            <w:tcW w:w="12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for Offset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Instruments</w:t>
            </w:r>
          </w:p>
        </w:tc>
        <w:tc>
          <w:tcPr>
            <w:tcW w:w="0" w:type="dxa"/>
            <w:vAlign w:val="bottom"/>
          </w:tcPr>
          <w:p>
            <w:pPr>
              <w:spacing w:after="0"/>
              <w:rPr>
                <w:sz w:val="1"/>
                <w:szCs w:val="1"/>
                <w:color w:val="auto"/>
              </w:rPr>
            </w:pPr>
          </w:p>
        </w:tc>
      </w:tr>
      <w:tr>
        <w:trPr>
          <w:trHeight w:val="119"/>
        </w:trPr>
        <w:tc>
          <w:tcPr>
            <w:tcW w:w="3360" w:type="dxa"/>
            <w:vAlign w:val="bottom"/>
          </w:tcPr>
          <w:p>
            <w:pPr>
              <w:spacing w:after="0" w:line="119" w:lineRule="exact"/>
              <w:rPr>
                <w:sz w:val="20"/>
                <w:szCs w:val="20"/>
                <w:color w:val="auto"/>
              </w:rPr>
            </w:pPr>
            <w:r>
              <w:rPr>
                <w:rFonts w:ascii="Arial" w:cs="Arial" w:eastAsia="Arial" w:hAnsi="Arial"/>
                <w:sz w:val="13"/>
                <w:szCs w:val="13"/>
                <w:i w:val="1"/>
                <w:iCs w:val="1"/>
                <w:color w:val="auto"/>
              </w:rPr>
              <w:t>(millions of Canadian dollars)</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4"/>
                <w:szCs w:val="14"/>
                <w:color w:val="auto"/>
              </w:rPr>
              <w:t>Other current assets</w:t>
            </w:r>
          </w:p>
        </w:tc>
        <w:tc>
          <w:tcPr>
            <w:tcW w:w="120" w:type="dxa"/>
            <w:vAlign w:val="bottom"/>
          </w:tcPr>
          <w:p>
            <w:pPr>
              <w:spacing w:after="0"/>
              <w:rPr>
                <w:sz w:val="12"/>
                <w:szCs w:val="12"/>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188"/>
              <w:spacing w:after="0"/>
              <w:rPr>
                <w:sz w:val="20"/>
                <w:szCs w:val="20"/>
                <w:color w:val="auto"/>
              </w:rPr>
            </w:pPr>
            <w:r>
              <w:rPr>
                <w:rFonts w:ascii="Arial" w:cs="Arial" w:eastAsia="Arial" w:hAnsi="Arial"/>
                <w:sz w:val="14"/>
                <w:szCs w:val="14"/>
                <w:color w:val="auto"/>
              </w:rPr>
              <w:t>27</w:t>
            </w:r>
          </w:p>
        </w:tc>
        <w:tc>
          <w:tcPr>
            <w:tcW w:w="1440" w:type="dxa"/>
            <w:vAlign w:val="bottom"/>
            <w:vMerge w:val="restart"/>
          </w:tcPr>
          <w:p>
            <w:pPr>
              <w:jc w:val="right"/>
              <w:ind w:right="328"/>
              <w:spacing w:after="0"/>
              <w:rPr>
                <w:sz w:val="20"/>
                <w:szCs w:val="20"/>
                <w:color w:val="auto"/>
              </w:rPr>
            </w:pPr>
            <w:r>
              <w:rPr>
                <w:rFonts w:ascii="Arial" w:cs="Arial" w:eastAsia="Arial" w:hAnsi="Arial"/>
                <w:sz w:val="14"/>
                <w:szCs w:val="14"/>
                <w:color w:val="auto"/>
              </w:rPr>
              <w:t>27</w:t>
            </w: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color w:val="auto"/>
              </w:rPr>
              <w:t>(17)</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3360" w:type="dxa"/>
            <w:vAlign w:val="bottom"/>
          </w:tcPr>
          <w:p>
            <w:pPr>
              <w:ind w:left="80"/>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80"/>
              <w:spacing w:after="0" w:line="149" w:lineRule="exact"/>
              <w:rPr>
                <w:sz w:val="20"/>
                <w:szCs w:val="20"/>
                <w:color w:val="auto"/>
              </w:rPr>
            </w:pPr>
            <w:r>
              <w:rPr>
                <w:rFonts w:ascii="Arial" w:cs="Arial" w:eastAsia="Arial" w:hAnsi="Arial"/>
                <w:sz w:val="14"/>
                <w:szCs w:val="14"/>
                <w:color w:val="auto"/>
              </w:rPr>
              <w:t>Interest rate contracts</w:t>
            </w:r>
          </w:p>
        </w:tc>
        <w:tc>
          <w:tcPr>
            <w:tcW w:w="13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79</w:t>
            </w:r>
          </w:p>
        </w:tc>
        <w:tc>
          <w:tcPr>
            <w:tcW w:w="13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w:t>
            </w:r>
          </w:p>
        </w:tc>
        <w:tc>
          <w:tcPr>
            <w:tcW w:w="14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22</w:t>
            </w:r>
          </w:p>
        </w:tc>
        <w:tc>
          <w:tcPr>
            <w:tcW w:w="144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106</w:t>
            </w:r>
          </w:p>
        </w:tc>
        <w:tc>
          <w:tcPr>
            <w:tcW w:w="126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(37)</w:t>
            </w:r>
          </w:p>
        </w:tc>
        <w:tc>
          <w:tcPr>
            <w:tcW w:w="11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Commodity contracts</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458</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458</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(192)</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color w:val="auto"/>
              </w:rPr>
              <w:t>79</w:t>
            </w:r>
          </w:p>
        </w:tc>
        <w:tc>
          <w:tcPr>
            <w:tcW w:w="1300" w:type="dxa"/>
            <w:vAlign w:val="bottom"/>
            <w:tcBorders>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color w:val="auto"/>
              </w:rPr>
              <w:t>5</w:t>
            </w:r>
          </w:p>
        </w:tc>
        <w:tc>
          <w:tcPr>
            <w:tcW w:w="144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507</w:t>
            </w:r>
          </w:p>
        </w:tc>
        <w:tc>
          <w:tcPr>
            <w:tcW w:w="144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color w:val="auto"/>
              </w:rPr>
              <w:t>591</w:t>
            </w:r>
          </w:p>
        </w:tc>
        <w:tc>
          <w:tcPr>
            <w:tcW w:w="12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(246)</w:t>
            </w:r>
          </w:p>
        </w:tc>
        <w:tc>
          <w:tcPr>
            <w:tcW w:w="11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19"/>
        </w:trPr>
        <w:tc>
          <w:tcPr>
            <w:tcW w:w="3360" w:type="dxa"/>
            <w:vAlign w:val="bottom"/>
          </w:tcPr>
          <w:p>
            <w:pPr>
              <w:spacing w:after="0" w:line="119" w:lineRule="exact"/>
              <w:rPr>
                <w:sz w:val="20"/>
                <w:szCs w:val="20"/>
                <w:color w:val="auto"/>
              </w:rPr>
            </w:pPr>
            <w:r>
              <w:rPr>
                <w:rFonts w:ascii="Arial" w:cs="Arial" w:eastAsia="Arial" w:hAnsi="Arial"/>
                <w:sz w:val="13"/>
                <w:szCs w:val="13"/>
                <w:color w:val="auto"/>
              </w:rPr>
              <w:t>Deferred amounts and other assets</w:t>
            </w:r>
          </w:p>
        </w:tc>
        <w:tc>
          <w:tcPr>
            <w:tcW w:w="120" w:type="dxa"/>
            <w:vAlign w:val="bottom"/>
          </w:tcPr>
          <w:p>
            <w:pPr>
              <w:spacing w:after="0"/>
              <w:rPr>
                <w:sz w:val="10"/>
                <w:szCs w:val="10"/>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188"/>
              <w:spacing w:after="0"/>
              <w:rPr>
                <w:sz w:val="20"/>
                <w:szCs w:val="20"/>
                <w:color w:val="auto"/>
              </w:rPr>
            </w:pPr>
            <w:r>
              <w:rPr>
                <w:rFonts w:ascii="Arial" w:cs="Arial" w:eastAsia="Arial" w:hAnsi="Arial"/>
                <w:sz w:val="14"/>
                <w:szCs w:val="14"/>
                <w:color w:val="auto"/>
              </w:rPr>
              <w:t>52</w:t>
            </w:r>
          </w:p>
        </w:tc>
        <w:tc>
          <w:tcPr>
            <w:tcW w:w="1440" w:type="dxa"/>
            <w:vAlign w:val="bottom"/>
            <w:vMerge w:val="restart"/>
          </w:tcPr>
          <w:p>
            <w:pPr>
              <w:jc w:val="right"/>
              <w:ind w:right="328"/>
              <w:spacing w:after="0"/>
              <w:rPr>
                <w:sz w:val="20"/>
                <w:szCs w:val="20"/>
                <w:color w:val="auto"/>
              </w:rPr>
            </w:pPr>
            <w:r>
              <w:rPr>
                <w:rFonts w:ascii="Arial" w:cs="Arial" w:eastAsia="Arial" w:hAnsi="Arial"/>
                <w:sz w:val="14"/>
                <w:szCs w:val="14"/>
                <w:color w:val="auto"/>
              </w:rPr>
              <w:t>52</w:t>
            </w: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color w:val="auto"/>
              </w:rPr>
              <w:t>(24)</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8"/>
        </w:trPr>
        <w:tc>
          <w:tcPr>
            <w:tcW w:w="3360" w:type="dxa"/>
            <w:vAlign w:val="bottom"/>
          </w:tcPr>
          <w:p>
            <w:pPr>
              <w:ind w:left="80"/>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ind w:left="80"/>
              <w:spacing w:after="0" w:line="149" w:lineRule="exact"/>
              <w:rPr>
                <w:sz w:val="20"/>
                <w:szCs w:val="20"/>
                <w:color w:val="auto"/>
              </w:rPr>
            </w:pPr>
            <w:r>
              <w:rPr>
                <w:rFonts w:ascii="Arial" w:cs="Arial" w:eastAsia="Arial" w:hAnsi="Arial"/>
                <w:sz w:val="14"/>
                <w:szCs w:val="14"/>
                <w:color w:val="auto"/>
              </w:rPr>
              <w:t>Interest rate contracts</w:t>
            </w:r>
          </w:p>
        </w:tc>
        <w:tc>
          <w:tcPr>
            <w:tcW w:w="13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2"/>
                <w:szCs w:val="12"/>
                <w:color w:val="auto"/>
              </w:rPr>
            </w:pPr>
          </w:p>
        </w:tc>
        <w:tc>
          <w:tcPr>
            <w:tcW w:w="11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108</w:t>
            </w:r>
          </w:p>
        </w:tc>
        <w:tc>
          <w:tcPr>
            <w:tcW w:w="144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117</w:t>
            </w:r>
          </w:p>
        </w:tc>
        <w:tc>
          <w:tcPr>
            <w:tcW w:w="126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(27)</w:t>
            </w:r>
          </w:p>
        </w:tc>
        <w:tc>
          <w:tcPr>
            <w:tcW w:w="11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Commodity contracts</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124</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124</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color w:val="auto"/>
              </w:rPr>
              <w:t>9</w:t>
            </w: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284</w:t>
            </w:r>
          </w:p>
        </w:tc>
        <w:tc>
          <w:tcPr>
            <w:tcW w:w="144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color w:val="auto"/>
              </w:rPr>
              <w:t>293</w:t>
            </w:r>
          </w:p>
        </w:tc>
        <w:tc>
          <w:tcPr>
            <w:tcW w:w="12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(71)</w:t>
            </w:r>
          </w:p>
        </w:tc>
        <w:tc>
          <w:tcPr>
            <w:tcW w:w="11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19"/>
        </w:trPr>
        <w:tc>
          <w:tcPr>
            <w:tcW w:w="3360" w:type="dxa"/>
            <w:vAlign w:val="bottom"/>
          </w:tcPr>
          <w:p>
            <w:pPr>
              <w:spacing w:after="0" w:line="119" w:lineRule="exact"/>
              <w:rPr>
                <w:sz w:val="20"/>
                <w:szCs w:val="20"/>
                <w:color w:val="auto"/>
              </w:rPr>
            </w:pPr>
            <w:r>
              <w:rPr>
                <w:rFonts w:ascii="Arial" w:cs="Arial" w:eastAsia="Arial" w:hAnsi="Arial"/>
                <w:sz w:val="13"/>
                <w:szCs w:val="13"/>
                <w:color w:val="auto"/>
              </w:rPr>
              <w:t>Other current liabilities</w:t>
            </w:r>
          </w:p>
        </w:tc>
        <w:tc>
          <w:tcPr>
            <w:tcW w:w="120" w:type="dxa"/>
            <w:vAlign w:val="bottom"/>
          </w:tcPr>
          <w:p>
            <w:pPr>
              <w:spacing w:after="0"/>
              <w:rPr>
                <w:sz w:val="10"/>
                <w:szCs w:val="10"/>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128"/>
              <w:spacing w:after="0"/>
              <w:rPr>
                <w:sz w:val="20"/>
                <w:szCs w:val="20"/>
                <w:color w:val="auto"/>
              </w:rPr>
            </w:pPr>
            <w:r>
              <w:rPr>
                <w:rFonts w:ascii="Arial" w:cs="Arial" w:eastAsia="Arial" w:hAnsi="Arial"/>
                <w:sz w:val="14"/>
                <w:szCs w:val="14"/>
                <w:color w:val="auto"/>
              </w:rPr>
              <w:t>(364)</w:t>
            </w:r>
          </w:p>
        </w:tc>
        <w:tc>
          <w:tcPr>
            <w:tcW w:w="1440" w:type="dxa"/>
            <w:vAlign w:val="bottom"/>
            <w:vMerge w:val="restart"/>
          </w:tcPr>
          <w:p>
            <w:pPr>
              <w:jc w:val="right"/>
              <w:ind w:right="268"/>
              <w:spacing w:after="0"/>
              <w:rPr>
                <w:sz w:val="20"/>
                <w:szCs w:val="20"/>
                <w:color w:val="auto"/>
              </w:rPr>
            </w:pPr>
            <w:r>
              <w:rPr>
                <w:rFonts w:ascii="Arial" w:cs="Arial" w:eastAsia="Arial" w:hAnsi="Arial"/>
                <w:sz w:val="14"/>
                <w:szCs w:val="14"/>
                <w:color w:val="auto"/>
              </w:rPr>
              <w:t>(364)</w:t>
            </w:r>
          </w:p>
        </w:tc>
        <w:tc>
          <w:tcPr>
            <w:tcW w:w="1260" w:type="dxa"/>
            <w:vAlign w:val="bottom"/>
            <w:vMerge w:val="restart"/>
          </w:tcPr>
          <w:p>
            <w:pPr>
              <w:jc w:val="right"/>
              <w:ind w:right="268"/>
              <w:spacing w:after="0"/>
              <w:rPr>
                <w:sz w:val="20"/>
                <w:szCs w:val="20"/>
                <w:color w:val="auto"/>
              </w:rPr>
            </w:pPr>
            <w:r>
              <w:rPr>
                <w:rFonts w:ascii="Arial" w:cs="Arial" w:eastAsia="Arial" w:hAnsi="Arial"/>
                <w:sz w:val="14"/>
                <w:szCs w:val="14"/>
                <w:color w:val="auto"/>
              </w:rPr>
              <w:t>17</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48"/>
        </w:trPr>
        <w:tc>
          <w:tcPr>
            <w:tcW w:w="3360" w:type="dxa"/>
            <w:vAlign w:val="bottom"/>
          </w:tcPr>
          <w:p>
            <w:pPr>
              <w:ind w:left="80"/>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80"/>
              <w:spacing w:after="0" w:line="149" w:lineRule="exact"/>
              <w:rPr>
                <w:sz w:val="20"/>
                <w:szCs w:val="20"/>
                <w:color w:val="auto"/>
              </w:rPr>
            </w:pPr>
            <w:r>
              <w:rPr>
                <w:rFonts w:ascii="Arial" w:cs="Arial" w:eastAsia="Arial" w:hAnsi="Arial"/>
                <w:sz w:val="14"/>
                <w:szCs w:val="14"/>
                <w:color w:val="auto"/>
              </w:rPr>
              <w:t>Interest rate contracts</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2"/>
                <w:szCs w:val="12"/>
                <w:color w:val="auto"/>
              </w:rPr>
            </w:pPr>
          </w:p>
        </w:tc>
        <w:tc>
          <w:tcPr>
            <w:tcW w:w="11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(39)</w:t>
            </w:r>
          </w:p>
        </w:tc>
        <w:tc>
          <w:tcPr>
            <w:tcW w:w="144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(48)</w:t>
            </w:r>
          </w:p>
        </w:tc>
        <w:tc>
          <w:tcPr>
            <w:tcW w:w="12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37</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Commodity contracts</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(300)</w:t>
            </w:r>
          </w:p>
        </w:tc>
        <w:tc>
          <w:tcPr>
            <w:tcW w:w="1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(300)</w:t>
            </w:r>
          </w:p>
        </w:tc>
        <w:tc>
          <w:tcPr>
            <w:tcW w:w="12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192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(9)</w:t>
            </w: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(703)</w:t>
            </w:r>
          </w:p>
        </w:tc>
        <w:tc>
          <w:tcPr>
            <w:tcW w:w="144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(712)</w:t>
            </w:r>
          </w:p>
        </w:tc>
        <w:tc>
          <w:tcPr>
            <w:tcW w:w="12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246</w:t>
            </w: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19"/>
        </w:trPr>
        <w:tc>
          <w:tcPr>
            <w:tcW w:w="3360" w:type="dxa"/>
            <w:vAlign w:val="bottom"/>
          </w:tcPr>
          <w:p>
            <w:pPr>
              <w:spacing w:after="0" w:line="119" w:lineRule="exact"/>
              <w:rPr>
                <w:sz w:val="20"/>
                <w:szCs w:val="20"/>
                <w:color w:val="auto"/>
              </w:rPr>
            </w:pPr>
            <w:r>
              <w:rPr>
                <w:rFonts w:ascii="Arial" w:cs="Arial" w:eastAsia="Arial" w:hAnsi="Arial"/>
                <w:sz w:val="13"/>
                <w:szCs w:val="13"/>
                <w:color w:val="auto"/>
              </w:rPr>
              <w:t>Other long-term liabilities</w:t>
            </w:r>
          </w:p>
        </w:tc>
        <w:tc>
          <w:tcPr>
            <w:tcW w:w="120" w:type="dxa"/>
            <w:vAlign w:val="bottom"/>
          </w:tcPr>
          <w:p>
            <w:pPr>
              <w:spacing w:after="0"/>
              <w:rPr>
                <w:sz w:val="10"/>
                <w:szCs w:val="10"/>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128"/>
              <w:spacing w:after="0"/>
              <w:rPr>
                <w:sz w:val="20"/>
                <w:szCs w:val="20"/>
                <w:color w:val="auto"/>
              </w:rPr>
            </w:pPr>
            <w:r>
              <w:rPr>
                <w:rFonts w:ascii="Arial" w:cs="Arial" w:eastAsia="Arial" w:hAnsi="Arial"/>
                <w:sz w:val="14"/>
                <w:szCs w:val="14"/>
                <w:color w:val="auto"/>
              </w:rPr>
              <w:t>(819)</w:t>
            </w:r>
          </w:p>
        </w:tc>
        <w:tc>
          <w:tcPr>
            <w:tcW w:w="1440" w:type="dxa"/>
            <w:vAlign w:val="bottom"/>
            <w:vMerge w:val="restart"/>
          </w:tcPr>
          <w:p>
            <w:pPr>
              <w:jc w:val="right"/>
              <w:ind w:right="268"/>
              <w:spacing w:after="0"/>
              <w:rPr>
                <w:sz w:val="20"/>
                <w:szCs w:val="20"/>
                <w:color w:val="auto"/>
              </w:rPr>
            </w:pPr>
            <w:r>
              <w:rPr>
                <w:rFonts w:ascii="Arial" w:cs="Arial" w:eastAsia="Arial" w:hAnsi="Arial"/>
                <w:sz w:val="14"/>
                <w:szCs w:val="14"/>
                <w:color w:val="auto"/>
              </w:rPr>
              <w:t>(819)</w:t>
            </w:r>
          </w:p>
        </w:tc>
        <w:tc>
          <w:tcPr>
            <w:tcW w:w="1260" w:type="dxa"/>
            <w:vAlign w:val="bottom"/>
            <w:vMerge w:val="restart"/>
          </w:tcPr>
          <w:p>
            <w:pPr>
              <w:jc w:val="right"/>
              <w:ind w:right="268"/>
              <w:spacing w:after="0"/>
              <w:rPr>
                <w:sz w:val="20"/>
                <w:szCs w:val="20"/>
                <w:color w:val="auto"/>
              </w:rPr>
            </w:pPr>
            <w:r>
              <w:rPr>
                <w:rFonts w:ascii="Arial" w:cs="Arial" w:eastAsia="Arial" w:hAnsi="Arial"/>
                <w:sz w:val="14"/>
                <w:szCs w:val="14"/>
                <w:color w:val="auto"/>
              </w:rPr>
              <w:t>24</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149"/>
        </w:trPr>
        <w:tc>
          <w:tcPr>
            <w:tcW w:w="3360" w:type="dxa"/>
            <w:vAlign w:val="bottom"/>
          </w:tcPr>
          <w:p>
            <w:pPr>
              <w:ind w:left="80"/>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80"/>
              <w:spacing w:after="0" w:line="149" w:lineRule="exact"/>
              <w:rPr>
                <w:sz w:val="20"/>
                <w:szCs w:val="20"/>
                <w:color w:val="auto"/>
              </w:rPr>
            </w:pPr>
            <w:r>
              <w:rPr>
                <w:rFonts w:ascii="Arial" w:cs="Arial" w:eastAsia="Arial" w:hAnsi="Arial"/>
                <w:sz w:val="14"/>
                <w:szCs w:val="14"/>
                <w:color w:val="auto"/>
              </w:rPr>
              <w:t>Interest rate contracts</w:t>
            </w:r>
          </w:p>
        </w:tc>
        <w:tc>
          <w:tcPr>
            <w:tcW w:w="120" w:type="dxa"/>
            <w:vAlign w:val="bottom"/>
          </w:tcPr>
          <w:p>
            <w:pPr>
              <w:spacing w:after="0"/>
              <w:rPr>
                <w:sz w:val="12"/>
                <w:szCs w:val="12"/>
                <w:color w:val="auto"/>
              </w:rPr>
            </w:pPr>
          </w:p>
        </w:tc>
        <w:tc>
          <w:tcPr>
            <w:tcW w:w="11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w:t>
            </w:r>
          </w:p>
        </w:tc>
        <w:tc>
          <w:tcPr>
            <w:tcW w:w="14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(50)</w:t>
            </w:r>
          </w:p>
        </w:tc>
        <w:tc>
          <w:tcPr>
            <w:tcW w:w="144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(84)</w:t>
            </w:r>
          </w:p>
        </w:tc>
        <w:tc>
          <w:tcPr>
            <w:tcW w:w="12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27</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Commodity contracts</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(92)</w:t>
            </w:r>
          </w:p>
        </w:tc>
        <w:tc>
          <w:tcPr>
            <w:tcW w:w="1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(92)</w:t>
            </w:r>
          </w:p>
        </w:tc>
        <w:tc>
          <w:tcPr>
            <w:tcW w:w="12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(34)</w:t>
            </w:r>
          </w:p>
        </w:tc>
        <w:tc>
          <w:tcPr>
            <w:tcW w:w="14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(961)</w:t>
            </w:r>
          </w:p>
        </w:tc>
        <w:tc>
          <w:tcPr>
            <w:tcW w:w="144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(995)</w:t>
            </w:r>
          </w:p>
        </w:tc>
        <w:tc>
          <w:tcPr>
            <w:tcW w:w="12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71</w:t>
            </w: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(924)</w:t>
            </w:r>
          </w:p>
        </w:tc>
        <w:tc>
          <w:tcPr>
            <w:tcW w:w="0" w:type="dxa"/>
            <w:vAlign w:val="bottom"/>
          </w:tcPr>
          <w:p>
            <w:pPr>
              <w:spacing w:after="0"/>
              <w:rPr>
                <w:sz w:val="1"/>
                <w:szCs w:val="1"/>
                <w:color w:val="auto"/>
              </w:rPr>
            </w:pPr>
          </w:p>
        </w:tc>
      </w:tr>
      <w:tr>
        <w:trPr>
          <w:trHeight w:val="119"/>
        </w:trPr>
        <w:tc>
          <w:tcPr>
            <w:tcW w:w="3360" w:type="dxa"/>
            <w:vAlign w:val="bottom"/>
          </w:tcPr>
          <w:p>
            <w:pPr>
              <w:spacing w:after="0" w:line="119" w:lineRule="exact"/>
              <w:rPr>
                <w:sz w:val="20"/>
                <w:szCs w:val="20"/>
                <w:color w:val="auto"/>
              </w:rPr>
            </w:pPr>
            <w:r>
              <w:rPr>
                <w:rFonts w:ascii="Arial" w:cs="Arial" w:eastAsia="Arial" w:hAnsi="Arial"/>
                <w:sz w:val="13"/>
                <w:szCs w:val="13"/>
                <w:color w:val="auto"/>
              </w:rPr>
              <w:t>Total net derivative asset/(liability)</w:t>
            </w:r>
          </w:p>
        </w:tc>
        <w:tc>
          <w:tcPr>
            <w:tcW w:w="120" w:type="dxa"/>
            <w:vAlign w:val="bottom"/>
          </w:tcPr>
          <w:p>
            <w:pPr>
              <w:spacing w:after="0"/>
              <w:rPr>
                <w:sz w:val="10"/>
                <w:szCs w:val="10"/>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128"/>
              <w:spacing w:after="0"/>
              <w:rPr>
                <w:sz w:val="20"/>
                <w:szCs w:val="20"/>
                <w:color w:val="auto"/>
              </w:rPr>
            </w:pPr>
            <w:r>
              <w:rPr>
                <w:rFonts w:ascii="Arial" w:cs="Arial" w:eastAsia="Arial" w:hAnsi="Arial"/>
                <w:sz w:val="14"/>
                <w:szCs w:val="14"/>
                <w:color w:val="auto"/>
              </w:rPr>
              <w:t>(1,104)</w:t>
            </w:r>
          </w:p>
        </w:tc>
        <w:tc>
          <w:tcPr>
            <w:tcW w:w="1440" w:type="dxa"/>
            <w:vAlign w:val="bottom"/>
            <w:vMerge w:val="restart"/>
          </w:tcPr>
          <w:p>
            <w:pPr>
              <w:jc w:val="right"/>
              <w:ind w:right="268"/>
              <w:spacing w:after="0"/>
              <w:rPr>
                <w:sz w:val="20"/>
                <w:szCs w:val="20"/>
                <w:color w:val="auto"/>
              </w:rPr>
            </w:pPr>
            <w:r>
              <w:rPr>
                <w:rFonts w:ascii="Arial" w:cs="Arial" w:eastAsia="Arial" w:hAnsi="Arial"/>
                <w:sz w:val="14"/>
                <w:szCs w:val="14"/>
                <w:color w:val="auto"/>
              </w:rPr>
              <w:t>(1,104)</w:t>
            </w:r>
          </w:p>
        </w:tc>
        <w:tc>
          <w:tcPr>
            <w:tcW w:w="126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148"/>
        </w:trPr>
        <w:tc>
          <w:tcPr>
            <w:tcW w:w="3360" w:type="dxa"/>
            <w:vAlign w:val="bottom"/>
          </w:tcPr>
          <w:p>
            <w:pPr>
              <w:ind w:left="80"/>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ind w:left="80"/>
              <w:spacing w:after="0" w:line="149" w:lineRule="exact"/>
              <w:rPr>
                <w:sz w:val="20"/>
                <w:szCs w:val="20"/>
                <w:color w:val="auto"/>
              </w:rPr>
            </w:pPr>
            <w:r>
              <w:rPr>
                <w:rFonts w:ascii="Arial" w:cs="Arial" w:eastAsia="Arial" w:hAnsi="Arial"/>
                <w:sz w:val="14"/>
                <w:szCs w:val="14"/>
                <w:color w:val="auto"/>
              </w:rPr>
              <w:t>Interest rate contracts</w:t>
            </w:r>
          </w:p>
        </w:tc>
        <w:tc>
          <w:tcPr>
            <w:tcW w:w="13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79</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w:t>
            </w:r>
          </w:p>
        </w:tc>
        <w:tc>
          <w:tcPr>
            <w:tcW w:w="14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41</w:t>
            </w:r>
          </w:p>
        </w:tc>
        <w:tc>
          <w:tcPr>
            <w:tcW w:w="144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91</w:t>
            </w:r>
          </w:p>
        </w:tc>
        <w:tc>
          <w:tcPr>
            <w:tcW w:w="12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Commodity contracts</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190</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190</w:t>
            </w:r>
          </w:p>
        </w:tc>
        <w:tc>
          <w:tcPr>
            <w:tcW w:w="12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color w:val="auto"/>
              </w:rPr>
              <w:t>79</w:t>
            </w:r>
          </w:p>
        </w:tc>
        <w:tc>
          <w:tcPr>
            <w:tcW w:w="1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(29)</w:t>
            </w:r>
          </w:p>
        </w:tc>
        <w:tc>
          <w:tcPr>
            <w:tcW w:w="14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(873)</w:t>
            </w:r>
          </w:p>
        </w:tc>
        <w:tc>
          <w:tcPr>
            <w:tcW w:w="144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(823)</w:t>
            </w:r>
          </w:p>
        </w:tc>
        <w:tc>
          <w:tcPr>
            <w:tcW w:w="12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maturity and notional principal or quantity outstanding related to our derivative instruments: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March 31, 2026</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2026</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2027</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2028</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2029</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2030</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Thereafter</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21"/>
        </w:trPr>
        <w:tc>
          <w:tcPr>
            <w:tcW w:w="5160" w:type="dxa"/>
            <w:vAlign w:val="bottom"/>
          </w:tcPr>
          <w:p>
            <w:pPr>
              <w:spacing w:after="0" w:line="121" w:lineRule="exact"/>
              <w:rPr>
                <w:sz w:val="20"/>
                <w:szCs w:val="20"/>
                <w:color w:val="auto"/>
              </w:rPr>
            </w:pPr>
            <w:r>
              <w:rPr>
                <w:rFonts w:ascii="Arial" w:cs="Arial" w:eastAsia="Arial" w:hAnsi="Arial"/>
                <w:sz w:val="14"/>
                <w:szCs w:val="14"/>
                <w:color w:val="auto"/>
              </w:rPr>
              <w:t xml:space="preserve">Foreign exchange contracts - US dollar forwards - purchase </w:t>
            </w:r>
            <w:r>
              <w:rPr>
                <w:rFonts w:ascii="Arial" w:cs="Arial" w:eastAsia="Arial" w:hAnsi="Arial"/>
                <w:sz w:val="14"/>
                <w:szCs w:val="14"/>
                <w:i w:val="1"/>
                <w:iCs w:val="1"/>
                <w:color w:val="auto"/>
              </w:rPr>
              <w:t>(millions of US</w:t>
            </w:r>
          </w:p>
        </w:tc>
        <w:tc>
          <w:tcPr>
            <w:tcW w:w="120" w:type="dxa"/>
            <w:vAlign w:val="bottom"/>
            <w:shd w:val="clear" w:color="auto" w:fill="D9D9D9"/>
          </w:tcPr>
          <w:p>
            <w:pPr>
              <w:spacing w:after="0"/>
              <w:rPr>
                <w:sz w:val="10"/>
                <w:szCs w:val="10"/>
                <w:color w:val="auto"/>
              </w:rPr>
            </w:pPr>
          </w:p>
        </w:tc>
        <w:tc>
          <w:tcPr>
            <w:tcW w:w="540" w:type="dxa"/>
            <w:vAlign w:val="bottom"/>
            <w:vMerge w:val="restart"/>
            <w:shd w:val="clear" w:color="auto" w:fill="D9D9D9"/>
          </w:tcPr>
          <w:p>
            <w:pPr>
              <w:jc w:val="right"/>
              <w:spacing w:after="0"/>
              <w:rPr>
                <w:sz w:val="20"/>
                <w:szCs w:val="20"/>
                <w:color w:val="auto"/>
              </w:rPr>
            </w:pPr>
            <w:r>
              <w:rPr>
                <w:rFonts w:ascii="Arial" w:cs="Arial" w:eastAsia="Arial" w:hAnsi="Arial"/>
                <w:sz w:val="14"/>
                <w:szCs w:val="14"/>
                <w:b w:val="1"/>
                <w:bCs w:val="1"/>
                <w:color w:val="auto"/>
              </w:rPr>
              <w:t>1,012</w:t>
            </w:r>
          </w:p>
        </w:tc>
        <w:tc>
          <w:tcPr>
            <w:tcW w:w="1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660" w:type="dxa"/>
            <w:vAlign w:val="bottom"/>
            <w:gridSpan w:val="2"/>
            <w:vMerge w:val="restart"/>
            <w:shd w:val="clear" w:color="auto" w:fill="D9D9D9"/>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D9D9D9"/>
          </w:tcPr>
          <w:p>
            <w:pPr>
              <w:spacing w:after="0"/>
              <w:rPr>
                <w:sz w:val="10"/>
                <w:szCs w:val="10"/>
                <w:color w:val="auto"/>
              </w:rPr>
            </w:pPr>
          </w:p>
        </w:tc>
        <w:tc>
          <w:tcPr>
            <w:tcW w:w="540" w:type="dxa"/>
            <w:vAlign w:val="bottom"/>
            <w:vMerge w:val="restart"/>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D9D9D9"/>
          </w:tcPr>
          <w:p>
            <w:pPr>
              <w:spacing w:after="0"/>
              <w:rPr>
                <w:sz w:val="10"/>
                <w:szCs w:val="10"/>
                <w:color w:val="auto"/>
              </w:rPr>
            </w:pPr>
          </w:p>
        </w:tc>
        <w:tc>
          <w:tcPr>
            <w:tcW w:w="540" w:type="dxa"/>
            <w:vAlign w:val="bottom"/>
            <w:vMerge w:val="restart"/>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shd w:val="clear" w:color="auto" w:fill="D9D9D9"/>
          </w:tcPr>
          <w:p>
            <w:pPr>
              <w:jc w:val="right"/>
              <w:ind w:right="248"/>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shd w:val="clear" w:color="auto" w:fill="D9D9D9"/>
          </w:tcPr>
          <w:p>
            <w:pPr>
              <w:jc w:val="right"/>
              <w:ind w:right="48"/>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shd w:val="clear" w:color="auto" w:fill="D9D9D9"/>
          </w:tcPr>
          <w:p>
            <w:pPr>
              <w:jc w:val="right"/>
              <w:ind w:right="68"/>
              <w:spacing w:after="0"/>
              <w:rPr>
                <w:sz w:val="20"/>
                <w:szCs w:val="20"/>
                <w:color w:val="auto"/>
              </w:rPr>
            </w:pPr>
            <w:r>
              <w:rPr>
                <w:rFonts w:ascii="Arial" w:cs="Arial" w:eastAsia="Arial" w:hAnsi="Arial"/>
                <w:sz w:val="14"/>
                <w:szCs w:val="14"/>
                <w:b w:val="1"/>
                <w:bCs w:val="1"/>
                <w:color w:val="auto"/>
              </w:rPr>
              <w:t>1,012</w:t>
            </w:r>
          </w:p>
        </w:tc>
        <w:tc>
          <w:tcPr>
            <w:tcW w:w="0" w:type="dxa"/>
            <w:vAlign w:val="bottom"/>
          </w:tcPr>
          <w:p>
            <w:pPr>
              <w:spacing w:after="0"/>
              <w:rPr>
                <w:sz w:val="1"/>
                <w:szCs w:val="1"/>
                <w:color w:val="auto"/>
              </w:rPr>
            </w:pPr>
          </w:p>
        </w:tc>
      </w:tr>
      <w:tr>
        <w:trPr>
          <w:trHeight w:val="113"/>
        </w:trPr>
        <w:tc>
          <w:tcPr>
            <w:tcW w:w="5160" w:type="dxa"/>
            <w:vAlign w:val="bottom"/>
            <w:vMerge w:val="restart"/>
          </w:tcPr>
          <w:p>
            <w:pPr>
              <w:spacing w:after="0" w:line="147" w:lineRule="exact"/>
              <w:rPr>
                <w:sz w:val="20"/>
                <w:szCs w:val="20"/>
                <w:color w:val="auto"/>
              </w:rPr>
            </w:pPr>
            <w:r>
              <w:rPr>
                <w:rFonts w:ascii="Arial" w:cs="Arial" w:eastAsia="Arial" w:hAnsi="Arial"/>
                <w:sz w:val="14"/>
                <w:szCs w:val="14"/>
                <w:i w:val="1"/>
                <w:iCs w:val="1"/>
                <w:color w:val="auto"/>
              </w:rPr>
              <w:t>dollars)</w:t>
            </w:r>
          </w:p>
        </w:tc>
        <w:tc>
          <w:tcPr>
            <w:tcW w:w="120" w:type="dxa"/>
            <w:vAlign w:val="bottom"/>
            <w:shd w:val="clear" w:color="auto" w:fill="D9D9D9"/>
          </w:tcPr>
          <w:p>
            <w:pPr>
              <w:spacing w:after="0"/>
              <w:rPr>
                <w:sz w:val="9"/>
                <w:szCs w:val="9"/>
                <w:color w:val="auto"/>
              </w:rPr>
            </w:pPr>
          </w:p>
        </w:tc>
        <w:tc>
          <w:tcPr>
            <w:tcW w:w="540" w:type="dxa"/>
            <w:vAlign w:val="bottom"/>
            <w:vMerge w:val="continue"/>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660" w:type="dxa"/>
            <w:vAlign w:val="bottom"/>
            <w:gridSpan w:val="2"/>
            <w:vMerge w:val="continue"/>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540" w:type="dxa"/>
            <w:vAlign w:val="bottom"/>
            <w:vMerge w:val="continue"/>
            <w:shd w:val="clear" w:color="auto" w:fill="D9D9D9"/>
          </w:tcPr>
          <w:p>
            <w:pPr>
              <w:spacing w:after="0"/>
              <w:rPr>
                <w:sz w:val="9"/>
                <w:szCs w:val="9"/>
                <w:color w:val="auto"/>
              </w:rPr>
            </w:pPr>
          </w:p>
        </w:tc>
        <w:tc>
          <w:tcPr>
            <w:tcW w:w="220" w:type="dxa"/>
            <w:vAlign w:val="bottom"/>
            <w:shd w:val="clear" w:color="auto" w:fill="D9D9D9"/>
          </w:tcPr>
          <w:p>
            <w:pPr>
              <w:spacing w:after="0"/>
              <w:rPr>
                <w:sz w:val="9"/>
                <w:szCs w:val="9"/>
                <w:color w:val="auto"/>
              </w:rPr>
            </w:pPr>
          </w:p>
        </w:tc>
        <w:tc>
          <w:tcPr>
            <w:tcW w:w="540" w:type="dxa"/>
            <w:vAlign w:val="bottom"/>
            <w:vMerge w:val="continue"/>
            <w:shd w:val="clear" w:color="auto" w:fill="D9D9D9"/>
          </w:tcPr>
          <w:p>
            <w:pPr>
              <w:spacing w:after="0"/>
              <w:rPr>
                <w:sz w:val="9"/>
                <w:szCs w:val="9"/>
                <w:color w:val="auto"/>
              </w:rPr>
            </w:pPr>
          </w:p>
        </w:tc>
        <w:tc>
          <w:tcPr>
            <w:tcW w:w="1080" w:type="dxa"/>
            <w:vAlign w:val="bottom"/>
            <w:vMerge w:val="continue"/>
            <w:shd w:val="clear" w:color="auto" w:fill="D9D9D9"/>
          </w:tcPr>
          <w:p>
            <w:pPr>
              <w:spacing w:after="0"/>
              <w:rPr>
                <w:sz w:val="9"/>
                <w:szCs w:val="9"/>
                <w:color w:val="auto"/>
              </w:rPr>
            </w:pPr>
          </w:p>
        </w:tc>
        <w:tc>
          <w:tcPr>
            <w:tcW w:w="1040" w:type="dxa"/>
            <w:vAlign w:val="bottom"/>
            <w:vMerge w:val="continue"/>
            <w:shd w:val="clear" w:color="auto" w:fill="D9D9D9"/>
          </w:tcPr>
          <w:p>
            <w:pPr>
              <w:spacing w:after="0"/>
              <w:rPr>
                <w:sz w:val="9"/>
                <w:szCs w:val="9"/>
                <w:color w:val="auto"/>
              </w:rPr>
            </w:pPr>
          </w:p>
        </w:tc>
        <w:tc>
          <w:tcPr>
            <w:tcW w:w="1040" w:type="dxa"/>
            <w:vAlign w:val="bottom"/>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5160" w:type="dxa"/>
            <w:vAlign w:val="bottom"/>
            <w:vMerge w:val="continue"/>
          </w:tcPr>
          <w:p>
            <w:pPr>
              <w:spacing w:after="0"/>
              <w:rPr>
                <w:sz w:val="2"/>
                <w:szCs w:val="2"/>
                <w:color w:val="auto"/>
              </w:rPr>
            </w:pPr>
          </w:p>
        </w:tc>
        <w:tc>
          <w:tcPr>
            <w:tcW w:w="120" w:type="dxa"/>
            <w:vAlign w:val="bottom"/>
            <w:shd w:val="clear" w:color="auto" w:fill="D9D9D9"/>
          </w:tcPr>
          <w:p>
            <w:pPr>
              <w:spacing w:after="0"/>
              <w:rPr>
                <w:sz w:val="2"/>
                <w:szCs w:val="2"/>
                <w:color w:val="auto"/>
              </w:rPr>
            </w:pPr>
          </w:p>
        </w:tc>
        <w:tc>
          <w:tcPr>
            <w:tcW w:w="54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540" w:type="dxa"/>
            <w:vAlign w:val="bottom"/>
            <w:shd w:val="clear" w:color="auto" w:fill="D9D9D9"/>
          </w:tcPr>
          <w:p>
            <w:pPr>
              <w:spacing w:after="0"/>
              <w:rPr>
                <w:sz w:val="2"/>
                <w:szCs w:val="2"/>
                <w:color w:val="auto"/>
              </w:rPr>
            </w:pPr>
          </w:p>
        </w:tc>
        <w:tc>
          <w:tcPr>
            <w:tcW w:w="12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540" w:type="dxa"/>
            <w:vAlign w:val="bottom"/>
            <w:shd w:val="clear" w:color="auto" w:fill="D9D9D9"/>
          </w:tcPr>
          <w:p>
            <w:pPr>
              <w:spacing w:after="0"/>
              <w:rPr>
                <w:sz w:val="2"/>
                <w:szCs w:val="2"/>
                <w:color w:val="auto"/>
              </w:rPr>
            </w:pPr>
          </w:p>
        </w:tc>
        <w:tc>
          <w:tcPr>
            <w:tcW w:w="220" w:type="dxa"/>
            <w:vAlign w:val="bottom"/>
            <w:shd w:val="clear" w:color="auto" w:fill="D9D9D9"/>
          </w:tcPr>
          <w:p>
            <w:pPr>
              <w:spacing w:after="0"/>
              <w:rPr>
                <w:sz w:val="2"/>
                <w:szCs w:val="2"/>
                <w:color w:val="auto"/>
              </w:rPr>
            </w:pPr>
          </w:p>
        </w:tc>
        <w:tc>
          <w:tcPr>
            <w:tcW w:w="540" w:type="dxa"/>
            <w:vAlign w:val="bottom"/>
            <w:shd w:val="clear" w:color="auto" w:fill="D9D9D9"/>
          </w:tcPr>
          <w:p>
            <w:pPr>
              <w:spacing w:after="0"/>
              <w:rPr>
                <w:sz w:val="2"/>
                <w:szCs w:val="2"/>
                <w:color w:val="auto"/>
              </w:rPr>
            </w:pPr>
          </w:p>
        </w:tc>
        <w:tc>
          <w:tcPr>
            <w:tcW w:w="1080" w:type="dxa"/>
            <w:vAlign w:val="bottom"/>
            <w:shd w:val="clear" w:color="auto" w:fill="D9D9D9"/>
          </w:tcPr>
          <w:p>
            <w:pPr>
              <w:spacing w:after="0"/>
              <w:rPr>
                <w:sz w:val="2"/>
                <w:szCs w:val="2"/>
                <w:color w:val="auto"/>
              </w:rPr>
            </w:pPr>
          </w:p>
        </w:tc>
        <w:tc>
          <w:tcPr>
            <w:tcW w:w="1040" w:type="dxa"/>
            <w:vAlign w:val="bottom"/>
            <w:shd w:val="clear" w:color="auto" w:fill="D9D9D9"/>
          </w:tcPr>
          <w:p>
            <w:pPr>
              <w:spacing w:after="0"/>
              <w:rPr>
                <w:sz w:val="2"/>
                <w:szCs w:val="2"/>
                <w:color w:val="auto"/>
              </w:rPr>
            </w:pPr>
          </w:p>
        </w:tc>
        <w:tc>
          <w:tcPr>
            <w:tcW w:w="1040" w:type="dxa"/>
            <w:vAlign w:val="bottom"/>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5160" w:type="dxa"/>
            <w:vAlign w:val="bottom"/>
          </w:tcPr>
          <w:p>
            <w:pPr>
              <w:spacing w:after="0" w:line="149" w:lineRule="exact"/>
              <w:rPr>
                <w:sz w:val="20"/>
                <w:szCs w:val="20"/>
                <w:color w:val="auto"/>
              </w:rPr>
            </w:pPr>
            <w:r>
              <w:rPr>
                <w:rFonts w:ascii="Arial" w:cs="Arial" w:eastAsia="Arial" w:hAnsi="Arial"/>
                <w:sz w:val="14"/>
                <w:szCs w:val="14"/>
                <w:color w:val="auto"/>
              </w:rPr>
              <w:t xml:space="preserve">Foreign exchange contracts - US dollar forwards - sell </w:t>
            </w:r>
            <w:r>
              <w:rPr>
                <w:rFonts w:ascii="Arial" w:cs="Arial" w:eastAsia="Arial" w:hAnsi="Arial"/>
                <w:sz w:val="14"/>
                <w:szCs w:val="14"/>
                <w:i w:val="1"/>
                <w:iCs w:val="1"/>
                <w:color w:val="auto"/>
              </w:rPr>
              <w:t>(millions of US dollars)</w:t>
            </w:r>
          </w:p>
        </w:tc>
        <w:tc>
          <w:tcPr>
            <w:tcW w:w="120" w:type="dxa"/>
            <w:vAlign w:val="bottom"/>
            <w:tcBorders>
              <w:bottom w:val="single" w:sz="8" w:color="D9D9D9"/>
            </w:tcBorders>
            <w:shd w:val="clear" w:color="auto" w:fill="D9D9D9"/>
          </w:tcPr>
          <w:p>
            <w:pPr>
              <w:spacing w:after="0"/>
              <w:rPr>
                <w:sz w:val="13"/>
                <w:szCs w:val="13"/>
                <w:color w:val="auto"/>
              </w:rPr>
            </w:pPr>
          </w:p>
        </w:tc>
        <w:tc>
          <w:tcPr>
            <w:tcW w:w="540" w:type="dxa"/>
            <w:vAlign w:val="bottom"/>
            <w:tcBorders>
              <w:bottom w:val="single" w:sz="8" w:color="D9D9D9"/>
            </w:tcBorders>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5,014</w:t>
            </w:r>
          </w:p>
        </w:tc>
        <w:tc>
          <w:tcPr>
            <w:tcW w:w="100" w:type="dxa"/>
            <w:vAlign w:val="bottom"/>
            <w:tcBorders>
              <w:bottom w:val="single" w:sz="8" w:color="D9D9D9"/>
            </w:tcBorders>
            <w:shd w:val="clear" w:color="auto" w:fill="D9D9D9"/>
          </w:tcPr>
          <w:p>
            <w:pPr>
              <w:spacing w:after="0"/>
              <w:rPr>
                <w:sz w:val="13"/>
                <w:szCs w:val="13"/>
                <w:color w:val="auto"/>
              </w:rPr>
            </w:pPr>
          </w:p>
        </w:tc>
        <w:tc>
          <w:tcPr>
            <w:tcW w:w="640" w:type="dxa"/>
            <w:vAlign w:val="bottom"/>
            <w:tcBorders>
              <w:bottom w:val="single" w:sz="8" w:color="D9D9D9"/>
            </w:tcBorders>
            <w:gridSpan w:val="2"/>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5,321</w:t>
            </w:r>
          </w:p>
        </w:tc>
        <w:tc>
          <w:tcPr>
            <w:tcW w:w="120" w:type="dxa"/>
            <w:vAlign w:val="bottom"/>
            <w:tcBorders>
              <w:bottom w:val="single" w:sz="8" w:color="D9D9D9"/>
            </w:tcBorders>
            <w:shd w:val="clear" w:color="auto" w:fill="D9D9D9"/>
          </w:tcPr>
          <w:p>
            <w:pPr>
              <w:spacing w:after="0"/>
              <w:rPr>
                <w:sz w:val="13"/>
                <w:szCs w:val="13"/>
                <w:color w:val="auto"/>
              </w:rPr>
            </w:pPr>
          </w:p>
        </w:tc>
        <w:tc>
          <w:tcPr>
            <w:tcW w:w="640" w:type="dxa"/>
            <w:vAlign w:val="bottom"/>
            <w:tcBorders>
              <w:bottom w:val="single" w:sz="8" w:color="D9D9D9"/>
            </w:tcBorders>
            <w:gridSpan w:val="2"/>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4,332</w:t>
            </w:r>
          </w:p>
        </w:tc>
        <w:tc>
          <w:tcPr>
            <w:tcW w:w="760" w:type="dxa"/>
            <w:vAlign w:val="bottom"/>
            <w:tcBorders>
              <w:bottom w:val="single" w:sz="8" w:color="D9D9D9"/>
            </w:tcBorders>
            <w:gridSpan w:val="2"/>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2,358</w:t>
            </w:r>
          </w:p>
        </w:tc>
        <w:tc>
          <w:tcPr>
            <w:tcW w:w="1080" w:type="dxa"/>
            <w:vAlign w:val="bottom"/>
            <w:tcBorders>
              <w:bottom w:val="single" w:sz="8" w:color="D9D9D9"/>
            </w:tcBorders>
            <w:shd w:val="clear" w:color="auto" w:fill="D9D9D9"/>
          </w:tcPr>
          <w:p>
            <w:pPr>
              <w:jc w:val="right"/>
              <w:ind w:right="248"/>
              <w:spacing w:after="0" w:line="149" w:lineRule="exact"/>
              <w:rPr>
                <w:sz w:val="20"/>
                <w:szCs w:val="20"/>
                <w:color w:val="auto"/>
              </w:rPr>
            </w:pPr>
            <w:r>
              <w:rPr>
                <w:rFonts w:ascii="Arial" w:cs="Arial" w:eastAsia="Arial" w:hAnsi="Arial"/>
                <w:sz w:val="14"/>
                <w:szCs w:val="14"/>
                <w:b w:val="1"/>
                <w:bCs w:val="1"/>
                <w:color w:val="auto"/>
              </w:rPr>
              <w:t>1,110</w:t>
            </w:r>
          </w:p>
        </w:tc>
        <w:tc>
          <w:tcPr>
            <w:tcW w:w="1040" w:type="dxa"/>
            <w:vAlign w:val="bottom"/>
            <w:tcBorders>
              <w:bottom w:val="single" w:sz="8" w:color="D9D9D9"/>
            </w:tcBorders>
            <w:shd w:val="clear" w:color="auto" w:fill="D9D9D9"/>
          </w:tcPr>
          <w:p>
            <w:pPr>
              <w:jc w:val="right"/>
              <w:ind w:right="48"/>
              <w:spacing w:after="0" w:line="149" w:lineRule="exact"/>
              <w:rPr>
                <w:sz w:val="20"/>
                <w:szCs w:val="20"/>
                <w:color w:val="auto"/>
              </w:rPr>
            </w:pPr>
            <w:r>
              <w:rPr>
                <w:rFonts w:ascii="Arial" w:cs="Arial" w:eastAsia="Arial" w:hAnsi="Arial"/>
                <w:sz w:val="14"/>
                <w:szCs w:val="14"/>
                <w:b w:val="1"/>
                <w:bCs w:val="1"/>
                <w:color w:val="auto"/>
              </w:rPr>
              <w:t>360</w:t>
            </w:r>
          </w:p>
        </w:tc>
        <w:tc>
          <w:tcPr>
            <w:tcW w:w="1040" w:type="dxa"/>
            <w:vAlign w:val="bottom"/>
            <w:tcBorders>
              <w:bottom w:val="single" w:sz="8" w:color="D9D9D9"/>
            </w:tcBorders>
            <w:shd w:val="clear" w:color="auto" w:fill="D9D9D9"/>
          </w:tcPr>
          <w:p>
            <w:pPr>
              <w:jc w:val="right"/>
              <w:ind w:right="68"/>
              <w:spacing w:after="0" w:line="149" w:lineRule="exact"/>
              <w:rPr>
                <w:sz w:val="20"/>
                <w:szCs w:val="20"/>
                <w:color w:val="auto"/>
              </w:rPr>
            </w:pPr>
            <w:r>
              <w:rPr>
                <w:rFonts w:ascii="Arial" w:cs="Arial" w:eastAsia="Arial" w:hAnsi="Arial"/>
                <w:sz w:val="14"/>
                <w:szCs w:val="14"/>
                <w:b w:val="1"/>
                <w:bCs w:val="1"/>
                <w:color w:val="auto"/>
              </w:rPr>
              <w:t>18,495</w:t>
            </w:r>
          </w:p>
        </w:tc>
        <w:tc>
          <w:tcPr>
            <w:tcW w:w="0" w:type="dxa"/>
            <w:vAlign w:val="bottom"/>
          </w:tcPr>
          <w:p>
            <w:pPr>
              <w:spacing w:after="0"/>
              <w:rPr>
                <w:sz w:val="1"/>
                <w:szCs w:val="1"/>
                <w:color w:val="auto"/>
              </w:rPr>
            </w:pPr>
          </w:p>
        </w:tc>
      </w:tr>
      <w:tr>
        <w:trPr>
          <w:trHeight w:val="128"/>
        </w:trPr>
        <w:tc>
          <w:tcPr>
            <w:tcW w:w="5160" w:type="dxa"/>
            <w:vAlign w:val="bottom"/>
          </w:tcPr>
          <w:p>
            <w:pPr>
              <w:spacing w:after="0" w:line="126" w:lineRule="exact"/>
              <w:rPr>
                <w:sz w:val="20"/>
                <w:szCs w:val="20"/>
                <w:color w:val="auto"/>
              </w:rPr>
            </w:pPr>
            <w:r>
              <w:rPr>
                <w:rFonts w:ascii="Arial" w:cs="Arial" w:eastAsia="Arial" w:hAnsi="Arial"/>
                <w:sz w:val="14"/>
                <w:szCs w:val="14"/>
                <w:color w:val="auto"/>
              </w:rPr>
              <w:t xml:space="preserve">Foreign exchange contracts - US dollar collars - sell </w:t>
            </w:r>
            <w:r>
              <w:rPr>
                <w:rFonts w:ascii="Arial" w:cs="Arial" w:eastAsia="Arial" w:hAnsi="Arial"/>
                <w:sz w:val="14"/>
                <w:szCs w:val="14"/>
                <w:i w:val="1"/>
                <w:iCs w:val="1"/>
                <w:color w:val="auto"/>
              </w:rPr>
              <w:t>(millions of US dollars)</w:t>
            </w:r>
          </w:p>
        </w:tc>
        <w:tc>
          <w:tcPr>
            <w:tcW w:w="120" w:type="dxa"/>
            <w:vAlign w:val="bottom"/>
            <w:tcBorders>
              <w:bottom w:val="single" w:sz="8" w:color="D9D9D9"/>
            </w:tcBorders>
            <w:shd w:val="clear" w:color="auto" w:fill="D9D9D9"/>
          </w:tcPr>
          <w:p>
            <w:pPr>
              <w:spacing w:after="0"/>
              <w:rPr>
                <w:sz w:val="11"/>
                <w:szCs w:val="11"/>
                <w:color w:val="auto"/>
              </w:rPr>
            </w:pPr>
          </w:p>
        </w:tc>
        <w:tc>
          <w:tcPr>
            <w:tcW w:w="54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135</w:t>
            </w:r>
          </w:p>
        </w:tc>
        <w:tc>
          <w:tcPr>
            <w:tcW w:w="100" w:type="dxa"/>
            <w:vAlign w:val="bottom"/>
            <w:tcBorders>
              <w:bottom w:val="single" w:sz="8" w:color="D9D9D9"/>
            </w:tcBorders>
            <w:shd w:val="clear" w:color="auto" w:fill="D9D9D9"/>
          </w:tcPr>
          <w:p>
            <w:pPr>
              <w:spacing w:after="0"/>
              <w:rPr>
                <w:sz w:val="11"/>
                <w:szCs w:val="11"/>
                <w:color w:val="auto"/>
              </w:rPr>
            </w:pPr>
          </w:p>
        </w:tc>
        <w:tc>
          <w:tcPr>
            <w:tcW w:w="640" w:type="dxa"/>
            <w:vAlign w:val="bottom"/>
            <w:tcBorders>
              <w:bottom w:val="single" w:sz="8" w:color="D9D9D9"/>
            </w:tcBorders>
            <w:gridSpan w:val="2"/>
            <w:shd w:val="clear" w:color="auto" w:fill="D9D9D9"/>
          </w:tcPr>
          <w:p>
            <w:pPr>
              <w:jc w:val="right"/>
              <w:spacing w:after="0" w:line="126" w:lineRule="exact"/>
              <w:rPr>
                <w:sz w:val="20"/>
                <w:szCs w:val="20"/>
                <w:color w:val="auto"/>
              </w:rPr>
            </w:pPr>
            <w:r>
              <w:rPr>
                <w:rFonts w:ascii="Arial" w:cs="Arial" w:eastAsia="Arial" w:hAnsi="Arial"/>
                <w:sz w:val="14"/>
                <w:szCs w:val="14"/>
                <w:b w:val="1"/>
                <w:bCs w:val="1"/>
                <w:color w:val="auto"/>
              </w:rPr>
              <w:t>180</w:t>
            </w:r>
          </w:p>
        </w:tc>
        <w:tc>
          <w:tcPr>
            <w:tcW w:w="120" w:type="dxa"/>
            <w:vAlign w:val="bottom"/>
            <w:tcBorders>
              <w:bottom w:val="single" w:sz="8" w:color="D9D9D9"/>
            </w:tcBorders>
            <w:shd w:val="clear" w:color="auto" w:fill="D9D9D9"/>
          </w:tcPr>
          <w:p>
            <w:pPr>
              <w:spacing w:after="0"/>
              <w:rPr>
                <w:sz w:val="11"/>
                <w:szCs w:val="11"/>
                <w:color w:val="auto"/>
              </w:rPr>
            </w:pPr>
          </w:p>
        </w:tc>
        <w:tc>
          <w:tcPr>
            <w:tcW w:w="640" w:type="dxa"/>
            <w:vAlign w:val="bottom"/>
            <w:tcBorders>
              <w:bottom w:val="single" w:sz="8" w:color="D9D9D9"/>
            </w:tcBorders>
            <w:gridSpan w:val="2"/>
            <w:shd w:val="clear" w:color="auto" w:fill="D9D9D9"/>
          </w:tcPr>
          <w:p>
            <w:pPr>
              <w:jc w:val="right"/>
              <w:spacing w:after="0" w:line="126" w:lineRule="exact"/>
              <w:rPr>
                <w:sz w:val="20"/>
                <w:szCs w:val="20"/>
                <w:color w:val="auto"/>
              </w:rPr>
            </w:pPr>
            <w:r>
              <w:rPr>
                <w:rFonts w:ascii="Arial" w:cs="Arial" w:eastAsia="Arial" w:hAnsi="Arial"/>
                <w:sz w:val="14"/>
                <w:szCs w:val="14"/>
                <w:b w:val="1"/>
                <w:bCs w:val="1"/>
                <w:color w:val="auto"/>
              </w:rPr>
              <w:t>120</w:t>
            </w:r>
          </w:p>
        </w:tc>
        <w:tc>
          <w:tcPr>
            <w:tcW w:w="220" w:type="dxa"/>
            <w:vAlign w:val="bottom"/>
            <w:tcBorders>
              <w:bottom w:val="single" w:sz="8" w:color="D9D9D9"/>
            </w:tcBorders>
            <w:shd w:val="clear" w:color="auto" w:fill="D9D9D9"/>
          </w:tcPr>
          <w:p>
            <w:pPr>
              <w:spacing w:after="0"/>
              <w:rPr>
                <w:sz w:val="11"/>
                <w:szCs w:val="11"/>
                <w:color w:val="auto"/>
              </w:rPr>
            </w:pPr>
          </w:p>
        </w:tc>
        <w:tc>
          <w:tcPr>
            <w:tcW w:w="540" w:type="dxa"/>
            <w:vAlign w:val="bottom"/>
            <w:tcBorders>
              <w:bottom w:val="single" w:sz="8" w:color="D9D9D9"/>
            </w:tcBorders>
            <w:shd w:val="clear" w:color="auto" w:fill="D9D9D9"/>
          </w:tcPr>
          <w:p>
            <w:pPr>
              <w:jc w:val="right"/>
              <w:spacing w:after="0" w:line="126" w:lineRule="exact"/>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9D9D9"/>
            </w:tcBorders>
            <w:shd w:val="clear" w:color="auto" w:fill="D9D9D9"/>
          </w:tcPr>
          <w:p>
            <w:pPr>
              <w:jc w:val="right"/>
              <w:ind w:right="248"/>
              <w:spacing w:after="0" w:line="126" w:lineRule="exact"/>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9D9D9"/>
            </w:tcBorders>
            <w:shd w:val="clear" w:color="auto" w:fill="D9D9D9"/>
          </w:tcPr>
          <w:p>
            <w:pPr>
              <w:jc w:val="right"/>
              <w:ind w:right="48"/>
              <w:spacing w:after="0" w:line="126" w:lineRule="exact"/>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9D9D9"/>
            </w:tcBorders>
            <w:shd w:val="clear" w:color="auto" w:fill="D9D9D9"/>
          </w:tcPr>
          <w:p>
            <w:pPr>
              <w:jc w:val="right"/>
              <w:ind w:right="68"/>
              <w:spacing w:after="0" w:line="126" w:lineRule="exact"/>
              <w:rPr>
                <w:sz w:val="20"/>
                <w:szCs w:val="20"/>
                <w:color w:val="auto"/>
              </w:rPr>
            </w:pPr>
            <w:r>
              <w:rPr>
                <w:rFonts w:ascii="Arial" w:cs="Arial" w:eastAsia="Arial" w:hAnsi="Arial"/>
                <w:sz w:val="14"/>
                <w:szCs w:val="14"/>
                <w:b w:val="1"/>
                <w:bCs w:val="1"/>
                <w:color w:val="auto"/>
              </w:rPr>
              <w:t>435</w:t>
            </w:r>
          </w:p>
        </w:tc>
        <w:tc>
          <w:tcPr>
            <w:tcW w:w="0" w:type="dxa"/>
            <w:vAlign w:val="bottom"/>
          </w:tcPr>
          <w:p>
            <w:pPr>
              <w:spacing w:after="0"/>
              <w:rPr>
                <w:sz w:val="1"/>
                <w:szCs w:val="1"/>
                <w:color w:val="auto"/>
              </w:rPr>
            </w:pPr>
          </w:p>
        </w:tc>
      </w:tr>
      <w:tr>
        <w:trPr>
          <w:trHeight w:val="128"/>
        </w:trPr>
        <w:tc>
          <w:tcPr>
            <w:tcW w:w="5160" w:type="dxa"/>
            <w:vAlign w:val="bottom"/>
          </w:tcPr>
          <w:p>
            <w:pPr>
              <w:spacing w:after="0" w:line="128" w:lineRule="exact"/>
              <w:rPr>
                <w:sz w:val="20"/>
                <w:szCs w:val="20"/>
                <w:color w:val="auto"/>
              </w:rPr>
            </w:pPr>
            <w:r>
              <w:rPr>
                <w:rFonts w:ascii="Arial" w:cs="Arial" w:eastAsia="Arial" w:hAnsi="Arial"/>
                <w:sz w:val="14"/>
                <w:szCs w:val="14"/>
                <w:color w:val="auto"/>
              </w:rPr>
              <w:t xml:space="preserve">Foreign exchange contracts - British pound (GBP) forwards - sell </w:t>
            </w:r>
            <w:r>
              <w:rPr>
                <w:rFonts w:ascii="Arial" w:cs="Arial" w:eastAsia="Arial" w:hAnsi="Arial"/>
                <w:sz w:val="14"/>
                <w:szCs w:val="14"/>
                <w:i w:val="1"/>
                <w:iCs w:val="1"/>
                <w:color w:val="auto"/>
              </w:rPr>
              <w:t>(millions of</w:t>
            </w:r>
          </w:p>
        </w:tc>
        <w:tc>
          <w:tcPr>
            <w:tcW w:w="120" w:type="dxa"/>
            <w:vAlign w:val="bottom"/>
            <w:shd w:val="clear" w:color="auto" w:fill="D9D9D9"/>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540" w:type="dxa"/>
            <w:vAlign w:val="bottom"/>
            <w:vMerge w:val="restart"/>
            <w:shd w:val="clear" w:color="auto" w:fill="D9D9D9"/>
          </w:tcPr>
          <w:p>
            <w:pPr>
              <w:jc w:val="right"/>
              <w:spacing w:after="0"/>
              <w:rPr>
                <w:sz w:val="20"/>
                <w:szCs w:val="20"/>
                <w:color w:val="auto"/>
              </w:rPr>
            </w:pPr>
            <w:r>
              <w:rPr>
                <w:rFonts w:ascii="Arial" w:cs="Arial" w:eastAsia="Arial" w:hAnsi="Arial"/>
                <w:sz w:val="14"/>
                <w:szCs w:val="14"/>
                <w:b w:val="1"/>
                <w:bCs w:val="1"/>
                <w:color w:val="auto"/>
              </w:rPr>
              <w:t>32</w:t>
            </w:r>
          </w:p>
        </w:tc>
        <w:tc>
          <w:tcPr>
            <w:tcW w:w="12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540" w:type="dxa"/>
            <w:vAlign w:val="bottom"/>
            <w:vMerge w:val="restart"/>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D9D9D9"/>
          </w:tcPr>
          <w:p>
            <w:pPr>
              <w:spacing w:after="0"/>
              <w:rPr>
                <w:sz w:val="11"/>
                <w:szCs w:val="11"/>
                <w:color w:val="auto"/>
              </w:rPr>
            </w:pPr>
          </w:p>
        </w:tc>
        <w:tc>
          <w:tcPr>
            <w:tcW w:w="540" w:type="dxa"/>
            <w:vAlign w:val="bottom"/>
            <w:vMerge w:val="restart"/>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shd w:val="clear" w:color="auto" w:fill="D9D9D9"/>
          </w:tcPr>
          <w:p>
            <w:pPr>
              <w:jc w:val="right"/>
              <w:ind w:right="248"/>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shd w:val="clear" w:color="auto" w:fill="D9D9D9"/>
          </w:tcPr>
          <w:p>
            <w:pPr>
              <w:jc w:val="right"/>
              <w:ind w:right="48"/>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shd w:val="clear" w:color="auto" w:fill="D9D9D9"/>
          </w:tcPr>
          <w:p>
            <w:pPr>
              <w:jc w:val="right"/>
              <w:ind w:right="68"/>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146"/>
        </w:trPr>
        <w:tc>
          <w:tcPr>
            <w:tcW w:w="5160" w:type="dxa"/>
            <w:vAlign w:val="bottom"/>
          </w:tcPr>
          <w:p>
            <w:pPr>
              <w:spacing w:after="0" w:line="147" w:lineRule="exact"/>
              <w:rPr>
                <w:sz w:val="20"/>
                <w:szCs w:val="20"/>
                <w:color w:val="auto"/>
              </w:rPr>
            </w:pPr>
            <w:r>
              <w:rPr>
                <w:rFonts w:ascii="Arial" w:cs="Arial" w:eastAsia="Arial" w:hAnsi="Arial"/>
                <w:sz w:val="14"/>
                <w:szCs w:val="14"/>
                <w:i w:val="1"/>
                <w:iCs w:val="1"/>
                <w:color w:val="auto"/>
              </w:rPr>
              <w:t>GBP)</w:t>
            </w:r>
          </w:p>
        </w:tc>
        <w:tc>
          <w:tcPr>
            <w:tcW w:w="120" w:type="dxa"/>
            <w:vAlign w:val="bottom"/>
            <w:shd w:val="clear" w:color="auto" w:fill="D9D9D9"/>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540" w:type="dxa"/>
            <w:vAlign w:val="bottom"/>
            <w:vMerge w:val="continue"/>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540" w:type="dxa"/>
            <w:vAlign w:val="bottom"/>
            <w:vMerge w:val="continue"/>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540" w:type="dxa"/>
            <w:vAlign w:val="bottom"/>
            <w:vMerge w:val="continue"/>
            <w:shd w:val="clear" w:color="auto" w:fill="D9D9D9"/>
          </w:tcPr>
          <w:p>
            <w:pPr>
              <w:spacing w:after="0"/>
              <w:rPr>
                <w:sz w:val="12"/>
                <w:szCs w:val="12"/>
                <w:color w:val="auto"/>
              </w:rPr>
            </w:pPr>
          </w:p>
        </w:tc>
        <w:tc>
          <w:tcPr>
            <w:tcW w:w="1080" w:type="dxa"/>
            <w:vAlign w:val="bottom"/>
            <w:vMerge w:val="continue"/>
            <w:shd w:val="clear" w:color="auto" w:fill="D9D9D9"/>
          </w:tcPr>
          <w:p>
            <w:pPr>
              <w:spacing w:after="0"/>
              <w:rPr>
                <w:sz w:val="12"/>
                <w:szCs w:val="12"/>
                <w:color w:val="auto"/>
              </w:rPr>
            </w:pPr>
          </w:p>
        </w:tc>
        <w:tc>
          <w:tcPr>
            <w:tcW w:w="1040" w:type="dxa"/>
            <w:vAlign w:val="bottom"/>
            <w:vMerge w:val="continue"/>
            <w:shd w:val="clear" w:color="auto" w:fill="D9D9D9"/>
          </w:tcPr>
          <w:p>
            <w:pPr>
              <w:spacing w:after="0"/>
              <w:rPr>
                <w:sz w:val="12"/>
                <w:szCs w:val="12"/>
                <w:color w:val="auto"/>
              </w:rPr>
            </w:pPr>
          </w:p>
        </w:tc>
        <w:tc>
          <w:tcPr>
            <w:tcW w:w="1040" w:type="dxa"/>
            <w:vAlign w:val="bottom"/>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160" w:type="dxa"/>
            <w:vAlign w:val="bottom"/>
          </w:tcPr>
          <w:p>
            <w:pPr>
              <w:spacing w:after="0" w:line="149" w:lineRule="exact"/>
              <w:rPr>
                <w:sz w:val="20"/>
                <w:szCs w:val="20"/>
                <w:color w:val="auto"/>
              </w:rPr>
            </w:pPr>
            <w:r>
              <w:rPr>
                <w:rFonts w:ascii="Arial" w:cs="Arial" w:eastAsia="Arial" w:hAnsi="Arial"/>
                <w:sz w:val="14"/>
                <w:szCs w:val="14"/>
                <w:color w:val="auto"/>
              </w:rPr>
              <w:t xml:space="preserve">Foreign exchange contracts - Euro forwards - sell </w:t>
            </w:r>
            <w:r>
              <w:rPr>
                <w:rFonts w:ascii="Arial" w:cs="Arial" w:eastAsia="Arial" w:hAnsi="Arial"/>
                <w:sz w:val="14"/>
                <w:szCs w:val="14"/>
                <w:i w:val="1"/>
                <w:iCs w:val="1"/>
                <w:color w:val="auto"/>
              </w:rPr>
              <w:t>(millions of Euro)</w:t>
            </w:r>
          </w:p>
        </w:tc>
        <w:tc>
          <w:tcPr>
            <w:tcW w:w="120" w:type="dxa"/>
            <w:vAlign w:val="bottom"/>
            <w:tcBorders>
              <w:bottom w:val="single" w:sz="8" w:color="D9D9D9"/>
            </w:tcBorders>
            <w:shd w:val="clear" w:color="auto" w:fill="D9D9D9"/>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90</w:t>
            </w:r>
          </w:p>
        </w:tc>
        <w:tc>
          <w:tcPr>
            <w:tcW w:w="100" w:type="dxa"/>
            <w:vAlign w:val="bottom"/>
          </w:tcPr>
          <w:p>
            <w:pPr>
              <w:spacing w:after="0"/>
              <w:rPr>
                <w:sz w:val="13"/>
                <w:szCs w:val="13"/>
                <w:color w:val="auto"/>
              </w:rPr>
            </w:pPr>
          </w:p>
        </w:tc>
        <w:tc>
          <w:tcPr>
            <w:tcW w:w="100" w:type="dxa"/>
            <w:vAlign w:val="bottom"/>
            <w:tcBorders>
              <w:bottom w:val="single" w:sz="8" w:color="D9D9D9"/>
            </w:tcBorders>
            <w:shd w:val="clear" w:color="auto" w:fill="D9D9D9"/>
          </w:tcPr>
          <w:p>
            <w:pPr>
              <w:spacing w:after="0"/>
              <w:rPr>
                <w:sz w:val="13"/>
                <w:szCs w:val="13"/>
                <w:color w:val="auto"/>
              </w:rPr>
            </w:pPr>
          </w:p>
        </w:tc>
        <w:tc>
          <w:tcPr>
            <w:tcW w:w="540" w:type="dxa"/>
            <w:vAlign w:val="bottom"/>
            <w:tcBorders>
              <w:bottom w:val="single" w:sz="8" w:color="D9D9D9"/>
            </w:tcBorders>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81</w:t>
            </w:r>
          </w:p>
        </w:tc>
        <w:tc>
          <w:tcPr>
            <w:tcW w:w="120" w:type="dxa"/>
            <w:vAlign w:val="bottom"/>
            <w:tcBorders>
              <w:bottom w:val="single" w:sz="8" w:color="D9D9D9"/>
            </w:tcBorders>
            <w:shd w:val="clear" w:color="auto" w:fill="D9D9D9"/>
          </w:tcPr>
          <w:p>
            <w:pPr>
              <w:spacing w:after="0"/>
              <w:rPr>
                <w:sz w:val="13"/>
                <w:szCs w:val="13"/>
                <w:color w:val="auto"/>
              </w:rPr>
            </w:pPr>
          </w:p>
        </w:tc>
        <w:tc>
          <w:tcPr>
            <w:tcW w:w="640" w:type="dxa"/>
            <w:vAlign w:val="bottom"/>
            <w:tcBorders>
              <w:bottom w:val="single" w:sz="8" w:color="D9D9D9"/>
            </w:tcBorders>
            <w:gridSpan w:val="2"/>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67</w:t>
            </w:r>
          </w:p>
        </w:tc>
        <w:tc>
          <w:tcPr>
            <w:tcW w:w="760" w:type="dxa"/>
            <w:vAlign w:val="bottom"/>
            <w:tcBorders>
              <w:bottom w:val="single" w:sz="8" w:color="D9D9D9"/>
            </w:tcBorders>
            <w:gridSpan w:val="2"/>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66</w:t>
            </w:r>
          </w:p>
        </w:tc>
        <w:tc>
          <w:tcPr>
            <w:tcW w:w="1080" w:type="dxa"/>
            <w:vAlign w:val="bottom"/>
            <w:tcBorders>
              <w:bottom w:val="single" w:sz="8" w:color="D9D9D9"/>
            </w:tcBorders>
            <w:shd w:val="clear" w:color="auto" w:fill="D9D9D9"/>
          </w:tcPr>
          <w:p>
            <w:pPr>
              <w:jc w:val="right"/>
              <w:ind w:right="248"/>
              <w:spacing w:after="0" w:line="149" w:lineRule="exact"/>
              <w:rPr>
                <w:sz w:val="20"/>
                <w:szCs w:val="20"/>
                <w:color w:val="auto"/>
              </w:rPr>
            </w:pPr>
            <w:r>
              <w:rPr>
                <w:rFonts w:ascii="Arial" w:cs="Arial" w:eastAsia="Arial" w:hAnsi="Arial"/>
                <w:sz w:val="14"/>
                <w:szCs w:val="14"/>
                <w:b w:val="1"/>
                <w:bCs w:val="1"/>
                <w:color w:val="auto"/>
              </w:rPr>
              <w:t>65</w:t>
            </w:r>
          </w:p>
        </w:tc>
        <w:tc>
          <w:tcPr>
            <w:tcW w:w="1040" w:type="dxa"/>
            <w:vAlign w:val="bottom"/>
            <w:tcBorders>
              <w:bottom w:val="single" w:sz="8" w:color="D9D9D9"/>
            </w:tcBorders>
            <w:shd w:val="clear" w:color="auto" w:fill="D9D9D9"/>
          </w:tcPr>
          <w:p>
            <w:pPr>
              <w:jc w:val="right"/>
              <w:ind w:right="48"/>
              <w:spacing w:after="0" w:line="149" w:lineRule="exact"/>
              <w:rPr>
                <w:sz w:val="20"/>
                <w:szCs w:val="20"/>
                <w:color w:val="auto"/>
              </w:rPr>
            </w:pPr>
            <w:r>
              <w:rPr>
                <w:rFonts w:ascii="Arial" w:cs="Arial" w:eastAsia="Arial" w:hAnsi="Arial"/>
                <w:sz w:val="14"/>
                <w:szCs w:val="14"/>
                <w:b w:val="1"/>
                <w:bCs w:val="1"/>
                <w:color w:val="auto"/>
              </w:rPr>
              <w:t>64</w:t>
            </w:r>
          </w:p>
        </w:tc>
        <w:tc>
          <w:tcPr>
            <w:tcW w:w="1040" w:type="dxa"/>
            <w:vAlign w:val="bottom"/>
            <w:tcBorders>
              <w:bottom w:val="single" w:sz="8" w:color="D9D9D9"/>
            </w:tcBorders>
            <w:shd w:val="clear" w:color="auto" w:fill="D9D9D9"/>
          </w:tcPr>
          <w:p>
            <w:pPr>
              <w:jc w:val="right"/>
              <w:ind w:right="68"/>
              <w:spacing w:after="0" w:line="149" w:lineRule="exact"/>
              <w:rPr>
                <w:sz w:val="20"/>
                <w:szCs w:val="20"/>
                <w:color w:val="auto"/>
              </w:rPr>
            </w:pPr>
            <w:r>
              <w:rPr>
                <w:rFonts w:ascii="Arial" w:cs="Arial" w:eastAsia="Arial" w:hAnsi="Arial"/>
                <w:sz w:val="14"/>
                <w:szCs w:val="14"/>
                <w:b w:val="1"/>
                <w:bCs w:val="1"/>
                <w:color w:val="auto"/>
              </w:rPr>
              <w:t>433</w:t>
            </w:r>
          </w:p>
        </w:tc>
        <w:tc>
          <w:tcPr>
            <w:tcW w:w="0" w:type="dxa"/>
            <w:vAlign w:val="bottom"/>
          </w:tcPr>
          <w:p>
            <w:pPr>
              <w:spacing w:after="0"/>
              <w:rPr>
                <w:sz w:val="1"/>
                <w:szCs w:val="1"/>
                <w:color w:val="auto"/>
              </w:rPr>
            </w:pPr>
          </w:p>
        </w:tc>
      </w:tr>
      <w:tr>
        <w:trPr>
          <w:trHeight w:val="128"/>
        </w:trPr>
        <w:tc>
          <w:tcPr>
            <w:tcW w:w="5160" w:type="dxa"/>
            <w:vAlign w:val="bottom"/>
          </w:tcPr>
          <w:p>
            <w:pPr>
              <w:spacing w:after="0" w:line="126" w:lineRule="exact"/>
              <w:rPr>
                <w:sz w:val="20"/>
                <w:szCs w:val="20"/>
                <w:color w:val="auto"/>
              </w:rPr>
            </w:pPr>
            <w:r>
              <w:rPr>
                <w:rFonts w:ascii="Arial" w:cs="Arial" w:eastAsia="Arial" w:hAnsi="Arial"/>
                <w:sz w:val="14"/>
                <w:szCs w:val="14"/>
                <w:color w:val="auto"/>
              </w:rPr>
              <w:t xml:space="preserve">Interest rate contracts - short-term pay fixed rate </w:t>
            </w:r>
            <w:r>
              <w:rPr>
                <w:rFonts w:ascii="Arial" w:cs="Arial" w:eastAsia="Arial" w:hAnsi="Arial"/>
                <w:sz w:val="14"/>
                <w:szCs w:val="14"/>
                <w:i w:val="1"/>
                <w:iCs w:val="1"/>
                <w:color w:val="auto"/>
              </w:rPr>
              <w:t>(millions of Canadian dollars)</w:t>
            </w:r>
          </w:p>
        </w:tc>
        <w:tc>
          <w:tcPr>
            <w:tcW w:w="120" w:type="dxa"/>
            <w:vAlign w:val="bottom"/>
            <w:tcBorders>
              <w:bottom w:val="single" w:sz="8" w:color="D9D9D9"/>
            </w:tcBorders>
            <w:shd w:val="clear" w:color="auto" w:fill="D9D9D9"/>
          </w:tcPr>
          <w:p>
            <w:pPr>
              <w:spacing w:after="0"/>
              <w:rPr>
                <w:sz w:val="11"/>
                <w:szCs w:val="11"/>
                <w:color w:val="auto"/>
              </w:rPr>
            </w:pPr>
          </w:p>
        </w:tc>
        <w:tc>
          <w:tcPr>
            <w:tcW w:w="54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4,799</w:t>
            </w:r>
          </w:p>
        </w:tc>
        <w:tc>
          <w:tcPr>
            <w:tcW w:w="100" w:type="dxa"/>
            <w:vAlign w:val="bottom"/>
          </w:tcPr>
          <w:p>
            <w:pPr>
              <w:spacing w:after="0"/>
              <w:rPr>
                <w:sz w:val="11"/>
                <w:szCs w:val="11"/>
                <w:color w:val="auto"/>
              </w:rPr>
            </w:pPr>
          </w:p>
        </w:tc>
        <w:tc>
          <w:tcPr>
            <w:tcW w:w="100" w:type="dxa"/>
            <w:vAlign w:val="bottom"/>
            <w:tcBorders>
              <w:bottom w:val="single" w:sz="8" w:color="D9D9D9"/>
            </w:tcBorders>
            <w:shd w:val="clear" w:color="auto" w:fill="D9D9D9"/>
          </w:tcPr>
          <w:p>
            <w:pPr>
              <w:spacing w:after="0"/>
              <w:rPr>
                <w:sz w:val="11"/>
                <w:szCs w:val="11"/>
                <w:color w:val="auto"/>
              </w:rPr>
            </w:pPr>
          </w:p>
        </w:tc>
        <w:tc>
          <w:tcPr>
            <w:tcW w:w="54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5,346</w:t>
            </w:r>
          </w:p>
        </w:tc>
        <w:tc>
          <w:tcPr>
            <w:tcW w:w="120" w:type="dxa"/>
            <w:vAlign w:val="bottom"/>
            <w:tcBorders>
              <w:bottom w:val="single" w:sz="8" w:color="D9D9D9"/>
            </w:tcBorders>
            <w:shd w:val="clear" w:color="auto" w:fill="D9D9D9"/>
          </w:tcPr>
          <w:p>
            <w:pPr>
              <w:spacing w:after="0"/>
              <w:rPr>
                <w:sz w:val="11"/>
                <w:szCs w:val="11"/>
                <w:color w:val="auto"/>
              </w:rPr>
            </w:pPr>
          </w:p>
        </w:tc>
        <w:tc>
          <w:tcPr>
            <w:tcW w:w="640" w:type="dxa"/>
            <w:vAlign w:val="bottom"/>
            <w:tcBorders>
              <w:bottom w:val="single" w:sz="8" w:color="D9D9D9"/>
            </w:tcBorders>
            <w:gridSpan w:val="2"/>
            <w:shd w:val="clear" w:color="auto" w:fill="D9D9D9"/>
          </w:tcPr>
          <w:p>
            <w:pPr>
              <w:jc w:val="right"/>
              <w:spacing w:after="0" w:line="126" w:lineRule="exact"/>
              <w:rPr>
                <w:sz w:val="20"/>
                <w:szCs w:val="20"/>
                <w:color w:val="auto"/>
              </w:rPr>
            </w:pPr>
            <w:r>
              <w:rPr>
                <w:rFonts w:ascii="Arial" w:cs="Arial" w:eastAsia="Arial" w:hAnsi="Arial"/>
                <w:sz w:val="14"/>
                <w:szCs w:val="14"/>
                <w:b w:val="1"/>
                <w:bCs w:val="1"/>
                <w:color w:val="auto"/>
              </w:rPr>
              <w:t>4,720</w:t>
            </w:r>
          </w:p>
        </w:tc>
        <w:tc>
          <w:tcPr>
            <w:tcW w:w="760" w:type="dxa"/>
            <w:vAlign w:val="bottom"/>
            <w:tcBorders>
              <w:bottom w:val="single" w:sz="8" w:color="D9D9D9"/>
            </w:tcBorders>
            <w:gridSpan w:val="2"/>
            <w:shd w:val="clear" w:color="auto" w:fill="D9D9D9"/>
          </w:tcPr>
          <w:p>
            <w:pPr>
              <w:jc w:val="right"/>
              <w:spacing w:after="0" w:line="126" w:lineRule="exact"/>
              <w:rPr>
                <w:sz w:val="20"/>
                <w:szCs w:val="20"/>
                <w:color w:val="auto"/>
              </w:rPr>
            </w:pPr>
            <w:r>
              <w:rPr>
                <w:rFonts w:ascii="Arial" w:cs="Arial" w:eastAsia="Arial" w:hAnsi="Arial"/>
                <w:sz w:val="14"/>
                <w:szCs w:val="14"/>
                <w:b w:val="1"/>
                <w:bCs w:val="1"/>
                <w:color w:val="auto"/>
              </w:rPr>
              <w:t>3,500</w:t>
            </w:r>
          </w:p>
        </w:tc>
        <w:tc>
          <w:tcPr>
            <w:tcW w:w="1080" w:type="dxa"/>
            <w:vAlign w:val="bottom"/>
            <w:tcBorders>
              <w:bottom w:val="single" w:sz="8" w:color="D9D9D9"/>
            </w:tcBorders>
            <w:shd w:val="clear" w:color="auto" w:fill="D9D9D9"/>
          </w:tcPr>
          <w:p>
            <w:pPr>
              <w:jc w:val="right"/>
              <w:ind w:right="248"/>
              <w:spacing w:after="0" w:line="126" w:lineRule="exact"/>
              <w:rPr>
                <w:sz w:val="20"/>
                <w:szCs w:val="20"/>
                <w:color w:val="auto"/>
              </w:rPr>
            </w:pPr>
            <w:r>
              <w:rPr>
                <w:rFonts w:ascii="Arial" w:cs="Arial" w:eastAsia="Arial" w:hAnsi="Arial"/>
                <w:sz w:val="14"/>
                <w:szCs w:val="14"/>
                <w:b w:val="1"/>
                <w:bCs w:val="1"/>
                <w:color w:val="auto"/>
              </w:rPr>
              <w:t>6,313</w:t>
            </w:r>
          </w:p>
        </w:tc>
        <w:tc>
          <w:tcPr>
            <w:tcW w:w="1040" w:type="dxa"/>
            <w:vAlign w:val="bottom"/>
            <w:tcBorders>
              <w:bottom w:val="single" w:sz="8" w:color="D9D9D9"/>
            </w:tcBorders>
            <w:shd w:val="clear" w:color="auto" w:fill="D9D9D9"/>
          </w:tcPr>
          <w:p>
            <w:pPr>
              <w:jc w:val="right"/>
              <w:ind w:right="48"/>
              <w:spacing w:after="0" w:line="126" w:lineRule="exact"/>
              <w:rPr>
                <w:sz w:val="20"/>
                <w:szCs w:val="20"/>
                <w:color w:val="auto"/>
              </w:rPr>
            </w:pPr>
            <w:r>
              <w:rPr>
                <w:rFonts w:ascii="Arial" w:cs="Arial" w:eastAsia="Arial" w:hAnsi="Arial"/>
                <w:sz w:val="14"/>
                <w:szCs w:val="14"/>
                <w:b w:val="1"/>
                <w:bCs w:val="1"/>
                <w:color w:val="auto"/>
              </w:rPr>
              <w:t>1,704</w:t>
            </w:r>
          </w:p>
        </w:tc>
        <w:tc>
          <w:tcPr>
            <w:tcW w:w="1040" w:type="dxa"/>
            <w:vAlign w:val="bottom"/>
            <w:tcBorders>
              <w:bottom w:val="single" w:sz="8" w:color="D9D9D9"/>
            </w:tcBorders>
            <w:shd w:val="clear" w:color="auto" w:fill="D9D9D9"/>
          </w:tcPr>
          <w:p>
            <w:pPr>
              <w:jc w:val="right"/>
              <w:ind w:right="68"/>
              <w:spacing w:after="0" w:line="126" w:lineRule="exact"/>
              <w:rPr>
                <w:sz w:val="20"/>
                <w:szCs w:val="20"/>
                <w:color w:val="auto"/>
              </w:rPr>
            </w:pPr>
            <w:r>
              <w:rPr>
                <w:rFonts w:ascii="Arial" w:cs="Arial" w:eastAsia="Arial" w:hAnsi="Arial"/>
                <w:sz w:val="14"/>
                <w:szCs w:val="14"/>
                <w:b w:val="1"/>
                <w:bCs w:val="1"/>
                <w:color w:val="auto"/>
              </w:rPr>
              <w:t>26,382</w:t>
            </w:r>
          </w:p>
        </w:tc>
        <w:tc>
          <w:tcPr>
            <w:tcW w:w="0" w:type="dxa"/>
            <w:vAlign w:val="bottom"/>
          </w:tcPr>
          <w:p>
            <w:pPr>
              <w:spacing w:after="0"/>
              <w:rPr>
                <w:sz w:val="1"/>
                <w:szCs w:val="1"/>
                <w:color w:val="auto"/>
              </w:rPr>
            </w:pPr>
          </w:p>
        </w:tc>
      </w:tr>
      <w:tr>
        <w:trPr>
          <w:trHeight w:val="122"/>
        </w:trPr>
        <w:tc>
          <w:tcPr>
            <w:tcW w:w="5160" w:type="dxa"/>
            <w:vAlign w:val="bottom"/>
          </w:tcPr>
          <w:p>
            <w:pPr>
              <w:spacing w:after="0" w:line="122" w:lineRule="exact"/>
              <w:rPr>
                <w:sz w:val="20"/>
                <w:szCs w:val="20"/>
                <w:color w:val="auto"/>
              </w:rPr>
            </w:pPr>
            <w:r>
              <w:rPr>
                <w:rFonts w:ascii="Arial" w:cs="Arial" w:eastAsia="Arial" w:hAnsi="Arial"/>
                <w:sz w:val="14"/>
                <w:szCs w:val="14"/>
                <w:color w:val="auto"/>
              </w:rPr>
              <w:t xml:space="preserve">Interest rate contracts - receive fixed rate </w:t>
            </w:r>
            <w:r>
              <w:rPr>
                <w:rFonts w:ascii="Arial" w:cs="Arial" w:eastAsia="Arial" w:hAnsi="Arial"/>
                <w:sz w:val="14"/>
                <w:szCs w:val="14"/>
                <w:i w:val="1"/>
                <w:iCs w:val="1"/>
                <w:color w:val="auto"/>
              </w:rPr>
              <w:t>(millions of Canadian dollars)</w:t>
            </w:r>
          </w:p>
        </w:tc>
        <w:tc>
          <w:tcPr>
            <w:tcW w:w="120" w:type="dxa"/>
            <w:vAlign w:val="bottom"/>
            <w:shd w:val="clear" w:color="auto" w:fill="D9D9D9"/>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4"/>
                <w:szCs w:val="14"/>
                <w:b w:val="1"/>
                <w:bCs w:val="1"/>
                <w:color w:val="auto"/>
              </w:rPr>
              <w:t>3,008</w:t>
            </w:r>
          </w:p>
        </w:tc>
        <w:tc>
          <w:tcPr>
            <w:tcW w:w="100" w:type="dxa"/>
            <w:vAlign w:val="bottom"/>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4"/>
                <w:szCs w:val="14"/>
                <w:b w:val="1"/>
                <w:bCs w:val="1"/>
                <w:color w:val="auto"/>
              </w:rPr>
              <w:t>3,997</w:t>
            </w:r>
          </w:p>
        </w:tc>
        <w:tc>
          <w:tcPr>
            <w:tcW w:w="120" w:type="dxa"/>
            <w:vAlign w:val="bottom"/>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540" w:type="dxa"/>
            <w:vAlign w:val="bottom"/>
            <w:shd w:val="clear" w:color="auto" w:fill="D9D9D9"/>
          </w:tcPr>
          <w:p>
            <w:pPr>
              <w:jc w:val="right"/>
              <w:spacing w:after="0" w:line="122" w:lineRule="exact"/>
              <w:rPr>
                <w:sz w:val="20"/>
                <w:szCs w:val="20"/>
                <w:color w:val="auto"/>
              </w:rPr>
            </w:pPr>
            <w:r>
              <w:rPr>
                <w:rFonts w:ascii="Arial" w:cs="Arial" w:eastAsia="Arial" w:hAnsi="Arial"/>
                <w:sz w:val="14"/>
                <w:szCs w:val="14"/>
                <w:b w:val="1"/>
                <w:bCs w:val="1"/>
                <w:color w:val="auto"/>
              </w:rPr>
              <w:t>3,996</w:t>
            </w:r>
          </w:p>
        </w:tc>
        <w:tc>
          <w:tcPr>
            <w:tcW w:w="760" w:type="dxa"/>
            <w:vAlign w:val="bottom"/>
            <w:gridSpan w:val="2"/>
            <w:shd w:val="clear" w:color="auto" w:fill="D9D9D9"/>
          </w:tcPr>
          <w:p>
            <w:pPr>
              <w:jc w:val="right"/>
              <w:spacing w:after="0" w:line="122" w:lineRule="exact"/>
              <w:rPr>
                <w:sz w:val="20"/>
                <w:szCs w:val="20"/>
                <w:color w:val="auto"/>
              </w:rPr>
            </w:pPr>
            <w:r>
              <w:rPr>
                <w:rFonts w:ascii="Arial" w:cs="Arial" w:eastAsia="Arial" w:hAnsi="Arial"/>
                <w:sz w:val="14"/>
                <w:szCs w:val="14"/>
                <w:b w:val="1"/>
                <w:bCs w:val="1"/>
                <w:color w:val="auto"/>
              </w:rPr>
              <w:t>3,998</w:t>
            </w:r>
          </w:p>
        </w:tc>
        <w:tc>
          <w:tcPr>
            <w:tcW w:w="1080" w:type="dxa"/>
            <w:vAlign w:val="bottom"/>
            <w:shd w:val="clear" w:color="auto" w:fill="D9D9D9"/>
          </w:tcPr>
          <w:p>
            <w:pPr>
              <w:jc w:val="right"/>
              <w:ind w:right="248"/>
              <w:spacing w:after="0" w:line="122" w:lineRule="exact"/>
              <w:rPr>
                <w:sz w:val="20"/>
                <w:szCs w:val="20"/>
                <w:color w:val="auto"/>
              </w:rPr>
            </w:pPr>
            <w:r>
              <w:rPr>
                <w:rFonts w:ascii="Arial" w:cs="Arial" w:eastAsia="Arial" w:hAnsi="Arial"/>
                <w:sz w:val="14"/>
                <w:szCs w:val="14"/>
                <w:b w:val="1"/>
                <w:bCs w:val="1"/>
                <w:color w:val="auto"/>
              </w:rPr>
              <w:t>3,997</w:t>
            </w:r>
          </w:p>
        </w:tc>
        <w:tc>
          <w:tcPr>
            <w:tcW w:w="1040" w:type="dxa"/>
            <w:vAlign w:val="bottom"/>
            <w:shd w:val="clear" w:color="auto" w:fill="D9D9D9"/>
          </w:tcPr>
          <w:p>
            <w:pPr>
              <w:jc w:val="right"/>
              <w:ind w:right="48"/>
              <w:spacing w:after="0" w:line="122" w:lineRule="exact"/>
              <w:rPr>
                <w:sz w:val="20"/>
                <w:szCs w:val="20"/>
                <w:color w:val="auto"/>
              </w:rPr>
            </w:pPr>
            <w:r>
              <w:rPr>
                <w:rFonts w:ascii="Arial" w:cs="Arial" w:eastAsia="Arial" w:hAnsi="Arial"/>
                <w:sz w:val="14"/>
                <w:szCs w:val="14"/>
                <w:b w:val="1"/>
                <w:bCs w:val="1"/>
                <w:color w:val="auto"/>
              </w:rPr>
              <w:t>28,976</w:t>
            </w:r>
          </w:p>
        </w:tc>
        <w:tc>
          <w:tcPr>
            <w:tcW w:w="1040" w:type="dxa"/>
            <w:vAlign w:val="bottom"/>
            <w:shd w:val="clear" w:color="auto" w:fill="D9D9D9"/>
          </w:tcPr>
          <w:p>
            <w:pPr>
              <w:jc w:val="right"/>
              <w:ind w:right="68"/>
              <w:spacing w:after="0" w:line="122" w:lineRule="exact"/>
              <w:rPr>
                <w:sz w:val="20"/>
                <w:szCs w:val="20"/>
                <w:color w:val="auto"/>
              </w:rPr>
            </w:pPr>
            <w:r>
              <w:rPr>
                <w:rFonts w:ascii="Arial" w:cs="Arial" w:eastAsia="Arial" w:hAnsi="Arial"/>
                <w:sz w:val="14"/>
                <w:szCs w:val="14"/>
                <w:b w:val="1"/>
                <w:bCs w:val="1"/>
                <w:color w:val="auto"/>
              </w:rPr>
              <w:t>47,972</w:t>
            </w:r>
          </w:p>
        </w:tc>
        <w:tc>
          <w:tcPr>
            <w:tcW w:w="0" w:type="dxa"/>
            <w:vAlign w:val="bottom"/>
          </w:tcPr>
          <w:p>
            <w:pPr>
              <w:spacing w:after="0"/>
              <w:rPr>
                <w:sz w:val="1"/>
                <w:szCs w:val="1"/>
                <w:color w:val="auto"/>
              </w:rPr>
            </w:pPr>
          </w:p>
        </w:tc>
      </w:tr>
      <w:tr>
        <w:trPr>
          <w:trHeight w:val="153"/>
        </w:trPr>
        <w:tc>
          <w:tcPr>
            <w:tcW w:w="5160" w:type="dxa"/>
            <w:vAlign w:val="bottom"/>
          </w:tcPr>
          <w:p>
            <w:pPr>
              <w:spacing w:after="0" w:line="153" w:lineRule="exact"/>
              <w:rPr>
                <w:sz w:val="20"/>
                <w:szCs w:val="20"/>
                <w:color w:val="auto"/>
              </w:rPr>
            </w:pPr>
            <w:r>
              <w:rPr>
                <w:rFonts w:ascii="Arial" w:cs="Arial" w:eastAsia="Arial" w:hAnsi="Arial"/>
                <w:sz w:val="13"/>
                <w:szCs w:val="13"/>
                <w:color w:val="auto"/>
              </w:rPr>
              <w:t xml:space="preserve">Interest rate contracts - long-term pay fixed rate </w:t>
            </w:r>
            <w:r>
              <w:rPr>
                <w:rFonts w:ascii="Arial" w:cs="Arial" w:eastAsia="Arial" w:hAnsi="Arial"/>
                <w:sz w:val="13"/>
                <w:szCs w:val="13"/>
                <w:i w:val="1"/>
                <w:iCs w:val="1"/>
                <w:color w:val="auto"/>
              </w:rPr>
              <w:t>(millions of Canadian dollars)</w:t>
            </w:r>
            <w:r>
              <w:rPr>
                <w:rFonts w:ascii="Arial" w:cs="Arial" w:eastAsia="Arial" w:hAnsi="Arial"/>
                <w:sz w:val="17"/>
                <w:szCs w:val="17"/>
                <w:color w:val="auto"/>
                <w:vertAlign w:val="superscript"/>
              </w:rPr>
              <w:t>1</w:t>
            </w:r>
          </w:p>
        </w:tc>
        <w:tc>
          <w:tcPr>
            <w:tcW w:w="120" w:type="dxa"/>
            <w:vAlign w:val="bottom"/>
            <w:shd w:val="clear" w:color="auto" w:fill="D9D9D9"/>
          </w:tcPr>
          <w:p>
            <w:pPr>
              <w:spacing w:after="0"/>
              <w:rPr>
                <w:sz w:val="13"/>
                <w:szCs w:val="13"/>
                <w:color w:val="auto"/>
              </w:rPr>
            </w:pPr>
          </w:p>
        </w:tc>
        <w:tc>
          <w:tcPr>
            <w:tcW w:w="5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1,660</w:t>
            </w:r>
          </w:p>
        </w:tc>
        <w:tc>
          <w:tcPr>
            <w:tcW w:w="100" w:type="dxa"/>
            <w:vAlign w:val="bottom"/>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5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648</w:t>
            </w:r>
          </w:p>
        </w:tc>
        <w:tc>
          <w:tcPr>
            <w:tcW w:w="120" w:type="dxa"/>
            <w:vAlign w:val="bottom"/>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540" w:type="dxa"/>
            <w:vAlign w:val="bottom"/>
            <w:shd w:val="clear" w:color="auto" w:fill="D9D9D9"/>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D9D9D9"/>
          </w:tcPr>
          <w:p>
            <w:pPr>
              <w:spacing w:after="0"/>
              <w:rPr>
                <w:sz w:val="13"/>
                <w:szCs w:val="13"/>
                <w:color w:val="auto"/>
              </w:rPr>
            </w:pPr>
          </w:p>
        </w:tc>
        <w:tc>
          <w:tcPr>
            <w:tcW w:w="540" w:type="dxa"/>
            <w:vAlign w:val="bottom"/>
            <w:shd w:val="clear" w:color="auto" w:fill="D9D9D9"/>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D9D9D9"/>
          </w:tcPr>
          <w:p>
            <w:pPr>
              <w:jc w:val="right"/>
              <w:ind w:right="248"/>
              <w:spacing w:after="0" w:line="153"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D9D9D9"/>
          </w:tcPr>
          <w:p>
            <w:pPr>
              <w:jc w:val="right"/>
              <w:ind w:right="48"/>
              <w:spacing w:after="0" w:line="153"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D9D9D9"/>
          </w:tcPr>
          <w:p>
            <w:pPr>
              <w:jc w:val="right"/>
              <w:ind w:right="68"/>
              <w:spacing w:after="0" w:line="153" w:lineRule="exact"/>
              <w:rPr>
                <w:sz w:val="20"/>
                <w:szCs w:val="20"/>
                <w:color w:val="auto"/>
              </w:rPr>
            </w:pPr>
            <w:r>
              <w:rPr>
                <w:rFonts w:ascii="Arial" w:cs="Arial" w:eastAsia="Arial" w:hAnsi="Arial"/>
                <w:sz w:val="14"/>
                <w:szCs w:val="14"/>
                <w:b w:val="1"/>
                <w:bCs w:val="1"/>
                <w:color w:val="auto"/>
              </w:rPr>
              <w:t>2,308</w:t>
            </w:r>
          </w:p>
        </w:tc>
        <w:tc>
          <w:tcPr>
            <w:tcW w:w="0" w:type="dxa"/>
            <w:vAlign w:val="bottom"/>
          </w:tcPr>
          <w:p>
            <w:pPr>
              <w:spacing w:after="0"/>
              <w:rPr>
                <w:sz w:val="1"/>
                <w:szCs w:val="1"/>
                <w:color w:val="auto"/>
              </w:rPr>
            </w:pPr>
          </w:p>
        </w:tc>
      </w:tr>
      <w:tr>
        <w:trPr>
          <w:trHeight w:val="144"/>
        </w:trPr>
        <w:tc>
          <w:tcPr>
            <w:tcW w:w="5160" w:type="dxa"/>
            <w:vAlign w:val="bottom"/>
          </w:tcPr>
          <w:p>
            <w:pPr>
              <w:spacing w:after="0" w:line="145" w:lineRule="exact"/>
              <w:rPr>
                <w:sz w:val="20"/>
                <w:szCs w:val="20"/>
                <w:color w:val="auto"/>
              </w:rPr>
            </w:pPr>
            <w:r>
              <w:rPr>
                <w:rFonts w:ascii="Arial" w:cs="Arial" w:eastAsia="Arial" w:hAnsi="Arial"/>
                <w:sz w:val="14"/>
                <w:szCs w:val="14"/>
                <w:color w:val="auto"/>
              </w:rPr>
              <w:t xml:space="preserve">Interest rate contracts - costless collar </w:t>
            </w:r>
            <w:r>
              <w:rPr>
                <w:rFonts w:ascii="Arial" w:cs="Arial" w:eastAsia="Arial" w:hAnsi="Arial"/>
                <w:sz w:val="14"/>
                <w:szCs w:val="14"/>
                <w:i w:val="1"/>
                <w:iCs w:val="1"/>
                <w:color w:val="auto"/>
              </w:rPr>
              <w:t>(millions of Canadian dollars)</w:t>
            </w:r>
          </w:p>
        </w:tc>
        <w:tc>
          <w:tcPr>
            <w:tcW w:w="120" w:type="dxa"/>
            <w:vAlign w:val="bottom"/>
            <w:shd w:val="clear" w:color="auto" w:fill="D9D9D9"/>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1,504</w:t>
            </w:r>
          </w:p>
        </w:tc>
        <w:tc>
          <w:tcPr>
            <w:tcW w:w="100" w:type="dxa"/>
            <w:vAlign w:val="bottom"/>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1,854</w:t>
            </w:r>
          </w:p>
        </w:tc>
        <w:tc>
          <w:tcPr>
            <w:tcW w:w="120" w:type="dxa"/>
            <w:vAlign w:val="bottom"/>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540" w:type="dxa"/>
            <w:vAlign w:val="bottom"/>
            <w:shd w:val="clear" w:color="auto" w:fill="D9D9D9"/>
          </w:tcPr>
          <w:p>
            <w:pPr>
              <w:jc w:val="right"/>
              <w:spacing w:after="0" w:line="145" w:lineRule="exact"/>
              <w:rPr>
                <w:sz w:val="20"/>
                <w:szCs w:val="20"/>
                <w:color w:val="auto"/>
              </w:rPr>
            </w:pPr>
            <w:r>
              <w:rPr>
                <w:rFonts w:ascii="Arial" w:cs="Arial" w:eastAsia="Arial" w:hAnsi="Arial"/>
                <w:sz w:val="14"/>
                <w:szCs w:val="14"/>
                <w:b w:val="1"/>
                <w:bCs w:val="1"/>
                <w:color w:val="auto"/>
              </w:rPr>
              <w:t>79</w:t>
            </w:r>
          </w:p>
        </w:tc>
        <w:tc>
          <w:tcPr>
            <w:tcW w:w="220" w:type="dxa"/>
            <w:vAlign w:val="bottom"/>
            <w:shd w:val="clear" w:color="auto" w:fill="D9D9D9"/>
          </w:tcPr>
          <w:p>
            <w:pPr>
              <w:spacing w:after="0"/>
              <w:rPr>
                <w:sz w:val="12"/>
                <w:szCs w:val="12"/>
                <w:color w:val="auto"/>
              </w:rPr>
            </w:pPr>
          </w:p>
        </w:tc>
        <w:tc>
          <w:tcPr>
            <w:tcW w:w="540" w:type="dxa"/>
            <w:vAlign w:val="bottom"/>
            <w:shd w:val="clear" w:color="auto" w:fill="D9D9D9"/>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D9D9D9"/>
          </w:tcPr>
          <w:p>
            <w:pPr>
              <w:jc w:val="right"/>
              <w:ind w:right="248"/>
              <w:spacing w:after="0" w:line="145"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D9D9D9"/>
          </w:tcPr>
          <w:p>
            <w:pPr>
              <w:jc w:val="right"/>
              <w:ind w:right="48"/>
              <w:spacing w:after="0" w:line="145"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D9D9D9"/>
          </w:tcPr>
          <w:p>
            <w:pPr>
              <w:jc w:val="right"/>
              <w:ind w:right="68"/>
              <w:spacing w:after="0" w:line="145" w:lineRule="exact"/>
              <w:rPr>
                <w:sz w:val="20"/>
                <w:szCs w:val="20"/>
                <w:color w:val="auto"/>
              </w:rPr>
            </w:pPr>
            <w:r>
              <w:rPr>
                <w:rFonts w:ascii="Arial" w:cs="Arial" w:eastAsia="Arial" w:hAnsi="Arial"/>
                <w:sz w:val="14"/>
                <w:szCs w:val="14"/>
                <w:b w:val="1"/>
                <w:bCs w:val="1"/>
                <w:color w:val="auto"/>
              </w:rPr>
              <w:t>3,437</w:t>
            </w:r>
          </w:p>
        </w:tc>
        <w:tc>
          <w:tcPr>
            <w:tcW w:w="0" w:type="dxa"/>
            <w:vAlign w:val="bottom"/>
          </w:tcPr>
          <w:p>
            <w:pPr>
              <w:spacing w:after="0"/>
              <w:rPr>
                <w:sz w:val="1"/>
                <w:szCs w:val="1"/>
                <w:color w:val="auto"/>
              </w:rPr>
            </w:pPr>
          </w:p>
        </w:tc>
      </w:tr>
      <w:tr>
        <w:trPr>
          <w:trHeight w:val="148"/>
        </w:trPr>
        <w:tc>
          <w:tcPr>
            <w:tcW w:w="5160" w:type="dxa"/>
            <w:vAlign w:val="bottom"/>
          </w:tcPr>
          <w:p>
            <w:pPr>
              <w:spacing w:after="0" w:line="149" w:lineRule="exact"/>
              <w:rPr>
                <w:sz w:val="20"/>
                <w:szCs w:val="20"/>
                <w:color w:val="auto"/>
              </w:rPr>
            </w:pPr>
            <w:r>
              <w:rPr>
                <w:rFonts w:ascii="Arial" w:cs="Arial" w:eastAsia="Arial" w:hAnsi="Arial"/>
                <w:sz w:val="13"/>
                <w:szCs w:val="13"/>
                <w:color w:val="auto"/>
              </w:rPr>
              <w:t xml:space="preserve">Commodity contracts - natural gas </w:t>
            </w:r>
            <w:r>
              <w:rPr>
                <w:rFonts w:ascii="Arial" w:cs="Arial" w:eastAsia="Arial" w:hAnsi="Arial"/>
                <w:sz w:val="13"/>
                <w:szCs w:val="13"/>
                <w:i w:val="1"/>
                <w:iCs w:val="1"/>
                <w:color w:val="auto"/>
              </w:rPr>
              <w:t>(billions of cubic feet)</w:t>
            </w:r>
            <w:r>
              <w:rPr>
                <w:rFonts w:ascii="Arial" w:cs="Arial" w:eastAsia="Arial" w:hAnsi="Arial"/>
                <w:sz w:val="17"/>
                <w:szCs w:val="17"/>
                <w:color w:val="auto"/>
                <w:vertAlign w:val="superscript"/>
              </w:rPr>
              <w:t>2</w:t>
            </w:r>
          </w:p>
        </w:tc>
        <w:tc>
          <w:tcPr>
            <w:tcW w:w="120" w:type="dxa"/>
            <w:vAlign w:val="bottom"/>
            <w:shd w:val="clear" w:color="auto" w:fill="D9D9D9"/>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109</w:t>
            </w:r>
          </w:p>
        </w:tc>
        <w:tc>
          <w:tcPr>
            <w:tcW w:w="100" w:type="dxa"/>
            <w:vAlign w:val="bottom"/>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81</w:t>
            </w:r>
          </w:p>
        </w:tc>
        <w:tc>
          <w:tcPr>
            <w:tcW w:w="120" w:type="dxa"/>
            <w:vAlign w:val="bottom"/>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5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32</w:t>
            </w:r>
          </w:p>
        </w:tc>
        <w:tc>
          <w:tcPr>
            <w:tcW w:w="220" w:type="dxa"/>
            <w:vAlign w:val="bottom"/>
            <w:shd w:val="clear" w:color="auto" w:fill="D9D9D9"/>
          </w:tcPr>
          <w:p>
            <w:pPr>
              <w:spacing w:after="0"/>
              <w:rPr>
                <w:sz w:val="12"/>
                <w:szCs w:val="12"/>
                <w:color w:val="auto"/>
              </w:rPr>
            </w:pPr>
          </w:p>
        </w:tc>
        <w:tc>
          <w:tcPr>
            <w:tcW w:w="5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13</w:t>
            </w:r>
          </w:p>
        </w:tc>
        <w:tc>
          <w:tcPr>
            <w:tcW w:w="1080" w:type="dxa"/>
            <w:vAlign w:val="bottom"/>
            <w:shd w:val="clear" w:color="auto" w:fill="D9D9D9"/>
          </w:tcPr>
          <w:p>
            <w:pPr>
              <w:jc w:val="right"/>
              <w:ind w:right="248"/>
              <w:spacing w:after="0" w:line="149" w:lineRule="exact"/>
              <w:rPr>
                <w:sz w:val="20"/>
                <w:szCs w:val="20"/>
                <w:color w:val="auto"/>
              </w:rPr>
            </w:pPr>
            <w:r>
              <w:rPr>
                <w:rFonts w:ascii="Arial" w:cs="Arial" w:eastAsia="Arial" w:hAnsi="Arial"/>
                <w:sz w:val="14"/>
                <w:szCs w:val="14"/>
                <w:b w:val="1"/>
                <w:bCs w:val="1"/>
                <w:color w:val="auto"/>
              </w:rPr>
              <w:t>6</w:t>
            </w:r>
          </w:p>
        </w:tc>
        <w:tc>
          <w:tcPr>
            <w:tcW w:w="1040" w:type="dxa"/>
            <w:vAlign w:val="bottom"/>
            <w:shd w:val="clear" w:color="auto" w:fill="D9D9D9"/>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D9D9D9"/>
          </w:tcPr>
          <w:p>
            <w:pPr>
              <w:jc w:val="right"/>
              <w:ind w:right="68"/>
              <w:spacing w:after="0" w:line="149" w:lineRule="exact"/>
              <w:rPr>
                <w:sz w:val="20"/>
                <w:szCs w:val="20"/>
                <w:color w:val="auto"/>
              </w:rPr>
            </w:pPr>
            <w:r>
              <w:rPr>
                <w:rFonts w:ascii="Arial" w:cs="Arial" w:eastAsia="Arial" w:hAnsi="Arial"/>
                <w:sz w:val="14"/>
                <w:szCs w:val="14"/>
                <w:b w:val="1"/>
                <w:bCs w:val="1"/>
                <w:color w:val="auto"/>
              </w:rPr>
              <w:t>241</w:t>
            </w:r>
          </w:p>
        </w:tc>
        <w:tc>
          <w:tcPr>
            <w:tcW w:w="0" w:type="dxa"/>
            <w:vAlign w:val="bottom"/>
          </w:tcPr>
          <w:p>
            <w:pPr>
              <w:spacing w:after="0"/>
              <w:rPr>
                <w:sz w:val="1"/>
                <w:szCs w:val="1"/>
                <w:color w:val="auto"/>
              </w:rPr>
            </w:pPr>
          </w:p>
        </w:tc>
      </w:tr>
      <w:tr>
        <w:trPr>
          <w:trHeight w:val="156"/>
        </w:trPr>
        <w:tc>
          <w:tcPr>
            <w:tcW w:w="5160" w:type="dxa"/>
            <w:vAlign w:val="bottom"/>
          </w:tcPr>
          <w:p>
            <w:pPr>
              <w:spacing w:after="0" w:line="153" w:lineRule="exact"/>
              <w:rPr>
                <w:sz w:val="20"/>
                <w:szCs w:val="20"/>
                <w:color w:val="auto"/>
              </w:rPr>
            </w:pPr>
            <w:r>
              <w:rPr>
                <w:rFonts w:ascii="Arial" w:cs="Arial" w:eastAsia="Arial" w:hAnsi="Arial"/>
                <w:sz w:val="13"/>
                <w:szCs w:val="13"/>
                <w:color w:val="auto"/>
              </w:rPr>
              <w:t xml:space="preserve">Commodity contracts - crude oil </w:t>
            </w:r>
            <w:r>
              <w:rPr>
                <w:rFonts w:ascii="Arial" w:cs="Arial" w:eastAsia="Arial" w:hAnsi="Arial"/>
                <w:sz w:val="13"/>
                <w:szCs w:val="13"/>
                <w:i w:val="1"/>
                <w:iCs w:val="1"/>
                <w:color w:val="auto"/>
              </w:rPr>
              <w:t>(millions of barrels)</w:t>
            </w:r>
            <w:r>
              <w:rPr>
                <w:rFonts w:ascii="Arial" w:cs="Arial" w:eastAsia="Arial" w:hAnsi="Arial"/>
                <w:sz w:val="17"/>
                <w:szCs w:val="17"/>
                <w:color w:val="auto"/>
                <w:vertAlign w:val="superscript"/>
              </w:rPr>
              <w:t>2</w:t>
            </w:r>
          </w:p>
        </w:tc>
        <w:tc>
          <w:tcPr>
            <w:tcW w:w="120" w:type="dxa"/>
            <w:vAlign w:val="bottom"/>
            <w:tcBorders>
              <w:bottom w:val="single" w:sz="8" w:color="D9D9D9"/>
            </w:tcBorders>
            <w:shd w:val="clear" w:color="auto" w:fill="D9D9D9"/>
          </w:tcPr>
          <w:p>
            <w:pPr>
              <w:spacing w:after="0"/>
              <w:rPr>
                <w:sz w:val="13"/>
                <w:szCs w:val="13"/>
                <w:color w:val="auto"/>
              </w:rPr>
            </w:pPr>
          </w:p>
        </w:tc>
        <w:tc>
          <w:tcPr>
            <w:tcW w:w="640" w:type="dxa"/>
            <w:vAlign w:val="bottom"/>
            <w:gridSpan w:val="2"/>
          </w:tcPr>
          <w:p>
            <w:pPr>
              <w:jc w:val="right"/>
              <w:ind w:right="60"/>
              <w:spacing w:after="0" w:line="153" w:lineRule="exact"/>
              <w:rPr>
                <w:sz w:val="20"/>
                <w:szCs w:val="20"/>
                <w:color w:val="auto"/>
              </w:rPr>
            </w:pPr>
            <w:r>
              <w:rPr>
                <w:rFonts w:ascii="Arial" w:cs="Arial" w:eastAsia="Arial" w:hAnsi="Arial"/>
                <w:sz w:val="14"/>
                <w:szCs w:val="14"/>
                <w:b w:val="1"/>
                <w:bCs w:val="1"/>
                <w:color w:val="auto"/>
              </w:rPr>
              <w:t>(6)</w:t>
            </w:r>
          </w:p>
        </w:tc>
        <w:tc>
          <w:tcPr>
            <w:tcW w:w="100" w:type="dxa"/>
            <w:vAlign w:val="bottom"/>
            <w:tcBorders>
              <w:bottom w:val="single" w:sz="8" w:color="D9D9D9"/>
            </w:tcBorders>
            <w:shd w:val="clear" w:color="auto" w:fill="D9D9D9"/>
          </w:tcPr>
          <w:p>
            <w:pPr>
              <w:spacing w:after="0"/>
              <w:rPr>
                <w:sz w:val="13"/>
                <w:szCs w:val="13"/>
                <w:color w:val="auto"/>
              </w:rPr>
            </w:pPr>
          </w:p>
        </w:tc>
        <w:tc>
          <w:tcPr>
            <w:tcW w:w="660" w:type="dxa"/>
            <w:vAlign w:val="bottom"/>
            <w:gridSpan w:val="2"/>
          </w:tcPr>
          <w:p>
            <w:pPr>
              <w:jc w:val="right"/>
              <w:ind w:right="60"/>
              <w:spacing w:after="0" w:line="153" w:lineRule="exact"/>
              <w:rPr>
                <w:sz w:val="20"/>
                <w:szCs w:val="20"/>
                <w:color w:val="auto"/>
              </w:rPr>
            </w:pPr>
            <w:r>
              <w:rPr>
                <w:rFonts w:ascii="Arial" w:cs="Arial" w:eastAsia="Arial" w:hAnsi="Arial"/>
                <w:sz w:val="14"/>
                <w:szCs w:val="14"/>
                <w:b w:val="1"/>
                <w:bCs w:val="1"/>
                <w:color w:val="auto"/>
              </w:rPr>
              <w:t>(5)</w:t>
            </w:r>
          </w:p>
        </w:tc>
        <w:tc>
          <w:tcPr>
            <w:tcW w:w="100" w:type="dxa"/>
            <w:vAlign w:val="bottom"/>
            <w:tcBorders>
              <w:bottom w:val="single" w:sz="8" w:color="D9D9D9"/>
            </w:tcBorders>
            <w:shd w:val="clear" w:color="auto" w:fill="D9D9D9"/>
          </w:tcPr>
          <w:p>
            <w:pPr>
              <w:spacing w:after="0"/>
              <w:rPr>
                <w:sz w:val="13"/>
                <w:szCs w:val="13"/>
                <w:color w:val="auto"/>
              </w:rPr>
            </w:pPr>
          </w:p>
        </w:tc>
        <w:tc>
          <w:tcPr>
            <w:tcW w:w="540" w:type="dxa"/>
            <w:vAlign w:val="bottom"/>
            <w:tcBorders>
              <w:bottom w:val="single" w:sz="8" w:color="D9D9D9"/>
            </w:tcBorders>
            <w:shd w:val="clear" w:color="auto" w:fill="D9D9D9"/>
          </w:tcPr>
          <w:p>
            <w:pPr>
              <w:jc w:val="right"/>
              <w:spacing w:after="0" w:line="153" w:lineRule="exact"/>
              <w:rPr>
                <w:sz w:val="20"/>
                <w:szCs w:val="20"/>
                <w:color w:val="auto"/>
              </w:rPr>
            </w:pPr>
            <w:r>
              <w:rPr>
                <w:rFonts w:ascii="Arial" w:cs="Arial" w:eastAsia="Arial" w:hAnsi="Arial"/>
                <w:sz w:val="14"/>
                <w:szCs w:val="14"/>
                <w:b w:val="1"/>
                <w:bCs w:val="1"/>
                <w:color w:val="auto"/>
              </w:rPr>
              <w:t>1</w:t>
            </w:r>
          </w:p>
        </w:tc>
        <w:tc>
          <w:tcPr>
            <w:tcW w:w="220" w:type="dxa"/>
            <w:vAlign w:val="bottom"/>
            <w:tcBorders>
              <w:bottom w:val="single" w:sz="8" w:color="D9D9D9"/>
            </w:tcBorders>
            <w:shd w:val="clear" w:color="auto" w:fill="D9D9D9"/>
          </w:tcPr>
          <w:p>
            <w:pPr>
              <w:spacing w:after="0"/>
              <w:rPr>
                <w:sz w:val="13"/>
                <w:szCs w:val="13"/>
                <w:color w:val="auto"/>
              </w:rPr>
            </w:pPr>
          </w:p>
        </w:tc>
        <w:tc>
          <w:tcPr>
            <w:tcW w:w="540" w:type="dxa"/>
            <w:vAlign w:val="bottom"/>
            <w:tcBorders>
              <w:bottom w:val="single" w:sz="8" w:color="D9D9D9"/>
            </w:tcBorders>
            <w:shd w:val="clear" w:color="auto" w:fill="D9D9D9"/>
          </w:tcPr>
          <w:p>
            <w:pPr>
              <w:jc w:val="right"/>
              <w:spacing w:after="0" w:line="153" w:lineRule="exact"/>
              <w:rPr>
                <w:sz w:val="20"/>
                <w:szCs w:val="20"/>
                <w:color w:val="auto"/>
              </w:rPr>
            </w:pPr>
            <w:r>
              <w:rPr>
                <w:rFonts w:ascii="Arial" w:cs="Arial" w:eastAsia="Arial" w:hAnsi="Arial"/>
                <w:sz w:val="14"/>
                <w:szCs w:val="14"/>
                <w:b w:val="1"/>
                <w:bCs w:val="1"/>
                <w:color w:val="auto"/>
              </w:rPr>
              <w:t>1</w:t>
            </w:r>
          </w:p>
        </w:tc>
        <w:tc>
          <w:tcPr>
            <w:tcW w:w="1080" w:type="dxa"/>
            <w:vAlign w:val="bottom"/>
            <w:tcBorders>
              <w:bottom w:val="single" w:sz="8" w:color="D9D9D9"/>
            </w:tcBorders>
            <w:shd w:val="clear" w:color="auto" w:fill="D9D9D9"/>
          </w:tcPr>
          <w:p>
            <w:pPr>
              <w:jc w:val="right"/>
              <w:ind w:right="248"/>
              <w:spacing w:after="0" w:line="153" w:lineRule="exact"/>
              <w:rPr>
                <w:sz w:val="20"/>
                <w:szCs w:val="20"/>
                <w:color w:val="auto"/>
              </w:rPr>
            </w:pPr>
            <w:r>
              <w:rPr>
                <w:rFonts w:ascii="Arial" w:cs="Arial" w:eastAsia="Arial" w:hAnsi="Arial"/>
                <w:sz w:val="14"/>
                <w:szCs w:val="14"/>
                <w:b w:val="1"/>
                <w:bCs w:val="1"/>
                <w:color w:val="auto"/>
              </w:rPr>
              <w:t>1</w:t>
            </w:r>
          </w:p>
        </w:tc>
        <w:tc>
          <w:tcPr>
            <w:tcW w:w="1040" w:type="dxa"/>
            <w:vAlign w:val="bottom"/>
            <w:tcBorders>
              <w:bottom w:val="single" w:sz="8" w:color="D9D9D9"/>
            </w:tcBorders>
            <w:shd w:val="clear" w:color="auto" w:fill="D9D9D9"/>
          </w:tcPr>
          <w:p>
            <w:pPr>
              <w:jc w:val="right"/>
              <w:ind w:right="48"/>
              <w:spacing w:after="0" w:line="153" w:lineRule="exact"/>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9D9D9"/>
            </w:tcBorders>
            <w:shd w:val="clear" w:color="auto" w:fill="D9D9D9"/>
          </w:tcPr>
          <w:p>
            <w:pPr>
              <w:jc w:val="right"/>
              <w:ind w:right="8"/>
              <w:spacing w:after="0" w:line="153" w:lineRule="exact"/>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148"/>
        </w:trPr>
        <w:tc>
          <w:tcPr>
            <w:tcW w:w="51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 xml:space="preserve">Commodity contracts - power </w:t>
            </w:r>
            <w:r>
              <w:rPr>
                <w:rFonts w:ascii="Arial" w:cs="Arial" w:eastAsia="Arial" w:hAnsi="Arial"/>
                <w:sz w:val="14"/>
                <w:szCs w:val="14"/>
                <w:i w:val="1"/>
                <w:iCs w:val="1"/>
                <w:color w:val="auto"/>
              </w:rPr>
              <w:t>(megawatt per hour (MW/H))</w:t>
            </w:r>
          </w:p>
        </w:tc>
        <w:tc>
          <w:tcPr>
            <w:tcW w:w="120" w:type="dxa"/>
            <w:vAlign w:val="bottom"/>
            <w:tcBorders>
              <w:bottom w:val="single" w:sz="8" w:color="auto"/>
            </w:tcBorders>
            <w:shd w:val="clear" w:color="auto" w:fill="D9D9D9"/>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144</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shd w:val="clear" w:color="auto" w:fill="D9D9D9"/>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85</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shd w:val="clear" w:color="auto" w:fill="D9D9D9"/>
          </w:tcPr>
          <w:p>
            <w:pPr>
              <w:spacing w:after="0"/>
              <w:rPr>
                <w:sz w:val="12"/>
                <w:szCs w:val="12"/>
                <w:color w:val="auto"/>
              </w:rPr>
            </w:pPr>
          </w:p>
        </w:tc>
        <w:tc>
          <w:tcPr>
            <w:tcW w:w="540" w:type="dxa"/>
            <w:vAlign w:val="bottom"/>
            <w:tcBorders>
              <w:bottom w:val="single" w:sz="8" w:color="auto"/>
            </w:tcBorders>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220" w:type="dxa"/>
            <w:vAlign w:val="bottom"/>
            <w:tcBorders>
              <w:bottom w:val="single" w:sz="8" w:color="auto"/>
            </w:tcBorders>
            <w:shd w:val="clear" w:color="auto" w:fill="D9D9D9"/>
          </w:tcPr>
          <w:p>
            <w:pPr>
              <w:spacing w:after="0"/>
              <w:rPr>
                <w:sz w:val="12"/>
                <w:szCs w:val="12"/>
                <w:color w:val="auto"/>
              </w:rPr>
            </w:pPr>
          </w:p>
        </w:tc>
        <w:tc>
          <w:tcPr>
            <w:tcW w:w="540" w:type="dxa"/>
            <w:vAlign w:val="bottom"/>
            <w:tcBorders>
              <w:bottom w:val="single" w:sz="8" w:color="auto"/>
            </w:tcBorders>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29</w:t>
            </w:r>
          </w:p>
        </w:tc>
        <w:tc>
          <w:tcPr>
            <w:tcW w:w="1080" w:type="dxa"/>
            <w:vAlign w:val="bottom"/>
            <w:tcBorders>
              <w:bottom w:val="single" w:sz="8" w:color="auto"/>
            </w:tcBorders>
            <w:shd w:val="clear" w:color="auto" w:fill="D9D9D9"/>
          </w:tcPr>
          <w:p>
            <w:pPr>
              <w:jc w:val="right"/>
              <w:ind w:right="188"/>
              <w:spacing w:after="0" w:line="149" w:lineRule="exact"/>
              <w:rPr>
                <w:sz w:val="20"/>
                <w:szCs w:val="20"/>
                <w:color w:val="auto"/>
              </w:rPr>
            </w:pPr>
            <w:r>
              <w:rPr>
                <w:rFonts w:ascii="Arial" w:cs="Arial" w:eastAsia="Arial" w:hAnsi="Arial"/>
                <w:sz w:val="14"/>
                <w:szCs w:val="14"/>
                <w:b w:val="1"/>
                <w:bCs w:val="1"/>
                <w:color w:val="auto"/>
              </w:rPr>
              <w:t>(2)</w:t>
            </w:r>
          </w:p>
        </w:tc>
        <w:tc>
          <w:tcPr>
            <w:tcW w:w="1040" w:type="dxa"/>
            <w:vAlign w:val="bottom"/>
            <w:tcBorders>
              <w:bottom w:val="single" w:sz="8" w:color="auto"/>
            </w:tcBorders>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1040" w:type="dxa"/>
            <w:vAlign w:val="bottom"/>
            <w:tcBorders>
              <w:bottom w:val="single" w:sz="8" w:color="auto"/>
            </w:tcBorders>
            <w:shd w:val="clear" w:color="auto" w:fill="DDDDDD"/>
          </w:tcPr>
          <w:p>
            <w:pPr>
              <w:jc w:val="right"/>
              <w:ind w:right="68"/>
              <w:spacing w:after="0" w:line="149" w:lineRule="exact"/>
              <w:rPr>
                <w:sz w:val="20"/>
                <w:szCs w:val="20"/>
                <w:color w:val="auto"/>
              </w:rPr>
            </w:pPr>
            <w:r>
              <w:rPr>
                <w:rFonts w:ascii="Arial" w:cs="Arial" w:eastAsia="Arial" w:hAnsi="Arial"/>
                <w:sz w:val="14"/>
                <w:szCs w:val="14"/>
                <w:b w:val="1"/>
                <w:bCs w:val="1"/>
                <w:color w:val="auto"/>
              </w:rPr>
              <w:t>31³</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-1139190</wp:posOffset>
            </wp:positionV>
            <wp:extent cx="891540" cy="11398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91540" cy="113982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Represents the notional amount of long-term debt issuances hedged.</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  Represents the notional amount of net purchase/(sale).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3  Total is an average net purchase/(sale) of power.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Designated as Fair Value Hedges</w:t>
      </w:r>
    </w:p>
    <w:p>
      <w:pPr>
        <w:spacing w:after="0" w:line="1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following table presents interest rate and foreign exchange derivative instruments that are designated and qualify as fair value hedges. The realized and unrealized gain or loss on the derivative is included in Other income/(expense) or Interest expense in the Consolidated Statements of Earnings. The offsetting loss or gain on the hedged item attributable to the hedged risk is included in Other income/(expense) or Interest expense in the Consolidated Statements of Earnings. Any excluded components are included in the Consolidated Statements of Comprehensive Income.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center"/>
              <w:ind w:right="150"/>
              <w:spacing w:after="0"/>
              <w:rPr>
                <w:sz w:val="20"/>
                <w:szCs w:val="20"/>
                <w:color w:val="auto"/>
              </w:rPr>
            </w:pPr>
            <w:r>
              <w:rPr>
                <w:rFonts w:ascii="Arial" w:cs="Arial" w:eastAsia="Arial" w:hAnsi="Arial"/>
                <w:sz w:val="18"/>
                <w:szCs w:val="18"/>
                <w:color w:val="auto"/>
                <w:w w:val="99"/>
              </w:rPr>
              <w:t>Three months ended</w:t>
            </w:r>
          </w:p>
        </w:tc>
      </w:tr>
      <w:tr>
        <w:trPr>
          <w:trHeight w:val="221"/>
        </w:trPr>
        <w:tc>
          <w:tcPr>
            <w:tcW w:w="40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370"/>
              <w:spacing w:after="0"/>
              <w:rPr>
                <w:sz w:val="20"/>
                <w:szCs w:val="20"/>
                <w:color w:val="auto"/>
              </w:rPr>
            </w:pPr>
            <w:r>
              <w:rPr>
                <w:rFonts w:ascii="Arial" w:cs="Arial" w:eastAsia="Arial" w:hAnsi="Arial"/>
                <w:sz w:val="18"/>
                <w:szCs w:val="18"/>
                <w:color w:val="auto"/>
                <w:w w:val="99"/>
              </w:rPr>
              <w:t>March 31,</w:t>
            </w:r>
          </w:p>
        </w:tc>
        <w:tc>
          <w:tcPr>
            <w:tcW w:w="720" w:type="dxa"/>
            <w:vAlign w:val="bottom"/>
            <w:tcBorders>
              <w:bottom w:val="single" w:sz="8" w:color="auto"/>
            </w:tcBorders>
          </w:tcPr>
          <w:p>
            <w:pPr>
              <w:spacing w:after="0"/>
              <w:rPr>
                <w:sz w:val="19"/>
                <w:szCs w:val="19"/>
                <w:color w:val="auto"/>
              </w:rPr>
            </w:pPr>
          </w:p>
        </w:tc>
      </w:tr>
      <w:tr>
        <w:trPr>
          <w:trHeight w:val="183"/>
        </w:trPr>
        <w:tc>
          <w:tcPr>
            <w:tcW w:w="404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30"/>
              <w:spacing w:after="0" w:line="182" w:lineRule="exact"/>
              <w:rPr>
                <w:sz w:val="20"/>
                <w:szCs w:val="20"/>
                <w:color w:val="auto"/>
              </w:rPr>
            </w:pPr>
            <w:r>
              <w:rPr>
                <w:rFonts w:ascii="Arial" w:cs="Arial" w:eastAsia="Arial" w:hAnsi="Arial"/>
                <w:sz w:val="18"/>
                <w:szCs w:val="18"/>
                <w:b w:val="1"/>
                <w:bCs w:val="1"/>
                <w:color w:val="auto"/>
              </w:rPr>
              <w:t>2026</w:t>
            </w: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2025</w:t>
            </w:r>
          </w:p>
        </w:tc>
      </w:tr>
      <w:tr>
        <w:trPr>
          <w:trHeight w:val="115"/>
        </w:trPr>
        <w:tc>
          <w:tcPr>
            <w:tcW w:w="404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4680" w:type="dxa"/>
            <w:vAlign w:val="bottom"/>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1120" w:type="dxa"/>
            <w:vAlign w:val="bottom"/>
            <w:shd w:val="clear" w:color="auto" w:fill="D9D9D9"/>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84"/>
        </w:trPr>
        <w:tc>
          <w:tcPr>
            <w:tcW w:w="4040" w:type="dxa"/>
            <w:vAlign w:val="bottom"/>
          </w:tcPr>
          <w:p>
            <w:pPr>
              <w:spacing w:after="0" w:line="183" w:lineRule="exact"/>
              <w:rPr>
                <w:sz w:val="20"/>
                <w:szCs w:val="20"/>
                <w:color w:val="auto"/>
              </w:rPr>
            </w:pPr>
            <w:r>
              <w:rPr>
                <w:rFonts w:ascii="Arial" w:cs="Arial" w:eastAsia="Arial" w:hAnsi="Arial"/>
                <w:sz w:val="18"/>
                <w:szCs w:val="18"/>
                <w:color w:val="auto"/>
              </w:rPr>
              <w:t>Unrealized loss on derivative</w:t>
            </w:r>
          </w:p>
        </w:tc>
        <w:tc>
          <w:tcPr>
            <w:tcW w:w="4680" w:type="dxa"/>
            <w:vAlign w:val="bottom"/>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1120" w:type="dxa"/>
            <w:vAlign w:val="bottom"/>
            <w:shd w:val="clear" w:color="auto" w:fill="D9D9D9"/>
          </w:tcPr>
          <w:p>
            <w:pPr>
              <w:jc w:val="right"/>
              <w:spacing w:after="0" w:line="183" w:lineRule="exact"/>
              <w:rPr>
                <w:sz w:val="20"/>
                <w:szCs w:val="20"/>
                <w:color w:val="auto"/>
              </w:rPr>
            </w:pPr>
            <w:r>
              <w:rPr>
                <w:rFonts w:ascii="Arial" w:cs="Arial" w:eastAsia="Arial" w:hAnsi="Arial"/>
                <w:sz w:val="18"/>
                <w:szCs w:val="18"/>
                <w:b w:val="1"/>
                <w:bCs w:val="1"/>
                <w:color w:val="auto"/>
              </w:rPr>
              <w:t>(22)</w:t>
            </w:r>
          </w:p>
        </w:tc>
        <w:tc>
          <w:tcPr>
            <w:tcW w:w="54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8"/>
                <w:szCs w:val="18"/>
                <w:color w:val="auto"/>
              </w:rPr>
              <w:t>(42)</w:t>
            </w:r>
          </w:p>
        </w:tc>
      </w:tr>
      <w:tr>
        <w:trPr>
          <w:trHeight w:val="201"/>
        </w:trPr>
        <w:tc>
          <w:tcPr>
            <w:tcW w:w="4040" w:type="dxa"/>
            <w:vAlign w:val="bottom"/>
          </w:tcPr>
          <w:p>
            <w:pPr>
              <w:spacing w:after="0" w:line="189" w:lineRule="exact"/>
              <w:rPr>
                <w:sz w:val="20"/>
                <w:szCs w:val="20"/>
                <w:color w:val="auto"/>
              </w:rPr>
            </w:pPr>
            <w:r>
              <w:rPr>
                <w:rFonts w:ascii="Arial" w:cs="Arial" w:eastAsia="Arial" w:hAnsi="Arial"/>
                <w:sz w:val="18"/>
                <w:szCs w:val="18"/>
                <w:color w:val="auto"/>
              </w:rPr>
              <w:t>Unrealized gain on hedged item</w:t>
            </w:r>
          </w:p>
        </w:tc>
        <w:tc>
          <w:tcPr>
            <w:tcW w:w="4680" w:type="dxa"/>
            <w:vAlign w:val="bottom"/>
          </w:tcPr>
          <w:p>
            <w:pPr>
              <w:spacing w:after="0"/>
              <w:rPr>
                <w:sz w:val="17"/>
                <w:szCs w:val="17"/>
                <w:color w:val="auto"/>
              </w:rPr>
            </w:pPr>
          </w:p>
        </w:tc>
        <w:tc>
          <w:tcPr>
            <w:tcW w:w="140" w:type="dxa"/>
            <w:vAlign w:val="bottom"/>
            <w:tcBorders>
              <w:bottom w:val="single" w:sz="8" w:color="D9D9D9"/>
            </w:tcBorders>
            <w:shd w:val="clear" w:color="auto" w:fill="D9D9D9"/>
          </w:tcPr>
          <w:p>
            <w:pPr>
              <w:spacing w:after="0"/>
              <w:rPr>
                <w:sz w:val="17"/>
                <w:szCs w:val="17"/>
                <w:color w:val="auto"/>
              </w:rPr>
            </w:pPr>
          </w:p>
        </w:tc>
        <w:tc>
          <w:tcPr>
            <w:tcW w:w="1120" w:type="dxa"/>
            <w:vAlign w:val="bottom"/>
            <w:tcBorders>
              <w:bottom w:val="single" w:sz="8" w:color="D9D9D9"/>
            </w:tcBorders>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22</w:t>
            </w:r>
          </w:p>
        </w:tc>
        <w:tc>
          <w:tcPr>
            <w:tcW w:w="540" w:type="dxa"/>
            <w:vAlign w:val="bottom"/>
          </w:tcPr>
          <w:p>
            <w:pPr>
              <w:spacing w:after="0"/>
              <w:rPr>
                <w:sz w:val="17"/>
                <w:szCs w:val="17"/>
                <w:color w:val="auto"/>
              </w:rPr>
            </w:pPr>
          </w:p>
        </w:tc>
        <w:tc>
          <w:tcPr>
            <w:tcW w:w="7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50</w:t>
            </w:r>
          </w:p>
        </w:tc>
      </w:tr>
      <w:tr>
        <w:trPr>
          <w:trHeight w:val="157"/>
        </w:trPr>
        <w:tc>
          <w:tcPr>
            <w:tcW w:w="4040" w:type="dxa"/>
            <w:vAlign w:val="bottom"/>
          </w:tcPr>
          <w:p>
            <w:pPr>
              <w:spacing w:after="0" w:line="157" w:lineRule="exact"/>
              <w:rPr>
                <w:sz w:val="20"/>
                <w:szCs w:val="20"/>
                <w:color w:val="auto"/>
              </w:rPr>
            </w:pPr>
            <w:r>
              <w:rPr>
                <w:rFonts w:ascii="Arial" w:cs="Arial" w:eastAsia="Arial" w:hAnsi="Arial"/>
                <w:sz w:val="18"/>
                <w:szCs w:val="18"/>
                <w:color w:val="auto"/>
              </w:rPr>
              <w:t>Realized gain on derivative</w:t>
            </w:r>
          </w:p>
        </w:tc>
        <w:tc>
          <w:tcPr>
            <w:tcW w:w="4680" w:type="dxa"/>
            <w:vAlign w:val="bottom"/>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120" w:type="dxa"/>
            <w:vAlign w:val="bottom"/>
          </w:tcPr>
          <w:p>
            <w:pPr>
              <w:jc w:val="right"/>
              <w:ind w:right="30"/>
              <w:spacing w:after="0" w:line="157" w:lineRule="exact"/>
              <w:rPr>
                <w:sz w:val="20"/>
                <w:szCs w:val="20"/>
                <w:color w:val="auto"/>
              </w:rPr>
            </w:pPr>
            <w:r>
              <w:rPr>
                <w:rFonts w:ascii="Arial" w:cs="Arial" w:eastAsia="Arial" w:hAnsi="Arial"/>
                <w:sz w:val="18"/>
                <w:szCs w:val="18"/>
                <w:b w:val="1"/>
                <w:bCs w:val="1"/>
                <w:color w:val="auto"/>
              </w:rPr>
              <w:t>3</w:t>
            </w:r>
          </w:p>
        </w:tc>
        <w:tc>
          <w:tcPr>
            <w:tcW w:w="540" w:type="dxa"/>
            <w:vAlign w:val="bottom"/>
          </w:tcPr>
          <w:p>
            <w:pPr>
              <w:spacing w:after="0"/>
              <w:rPr>
                <w:sz w:val="13"/>
                <w:szCs w:val="13"/>
                <w:color w:val="auto"/>
              </w:rPr>
            </w:pPr>
          </w:p>
        </w:tc>
        <w:tc>
          <w:tcPr>
            <w:tcW w:w="720" w:type="dxa"/>
            <w:vAlign w:val="bottom"/>
          </w:tcPr>
          <w:p>
            <w:pPr>
              <w:jc w:val="right"/>
              <w:ind w:right="30"/>
              <w:spacing w:after="0" w:line="157" w:lineRule="exact"/>
              <w:rPr>
                <w:sz w:val="20"/>
                <w:szCs w:val="20"/>
                <w:color w:val="auto"/>
              </w:rPr>
            </w:pPr>
            <w:r>
              <w:rPr>
                <w:rFonts w:ascii="Arial" w:cs="Arial" w:eastAsia="Arial" w:hAnsi="Arial"/>
                <w:sz w:val="18"/>
                <w:szCs w:val="18"/>
                <w:color w:val="auto"/>
              </w:rPr>
              <w:t>61</w:t>
            </w:r>
          </w:p>
        </w:tc>
      </w:tr>
      <w:tr>
        <w:trPr>
          <w:trHeight w:val="22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Realized loss on hedged item</w:t>
            </w:r>
          </w:p>
        </w:tc>
        <w:tc>
          <w:tcPr>
            <w:tcW w:w="46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shd w:val="clear" w:color="auto" w:fill="D9D9D9"/>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834"/>
        </w:trPr>
        <w:tc>
          <w:tcPr>
            <w:tcW w:w="4040" w:type="dxa"/>
            <w:vAlign w:val="bottom"/>
          </w:tcPr>
          <w:p>
            <w:pPr>
              <w:spacing w:after="0"/>
              <w:rPr>
                <w:sz w:val="24"/>
                <w:szCs w:val="24"/>
                <w:color w:val="auto"/>
              </w:rPr>
            </w:pPr>
          </w:p>
        </w:tc>
        <w:tc>
          <w:tcPr>
            <w:tcW w:w="4680" w:type="dxa"/>
            <w:vAlign w:val="bottom"/>
          </w:tcPr>
          <w:p>
            <w:pPr>
              <w:jc w:val="right"/>
              <w:ind w:right="291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786"/>
        </w:trPr>
        <w:tc>
          <w:tcPr>
            <w:tcW w:w="40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-1414145</wp:posOffset>
            </wp:positionV>
            <wp:extent cx="711200" cy="3683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200" cy="36830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Derivative Instruments on the Statements of Earnings and Comprehensive Income</w:t>
      </w:r>
    </w:p>
    <w:p>
      <w:pPr>
        <w:spacing w:after="0" w:line="2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following table presents the effect of cash flow hedges and fair value hedges on our consolidated earnings and comprehensive income, before the effect of income taxes: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tcPr>
          <w:p>
            <w:pPr>
              <w:spacing w:after="0"/>
              <w:rPr>
                <w:sz w:val="17"/>
                <w:szCs w:val="17"/>
                <w:color w:val="auto"/>
              </w:rPr>
            </w:pPr>
          </w:p>
        </w:tc>
        <w:tc>
          <w:tcPr>
            <w:tcW w:w="2520" w:type="dxa"/>
            <w:vAlign w:val="bottom"/>
            <w:gridSpan w:val="3"/>
          </w:tcPr>
          <w:p>
            <w:pPr>
              <w:jc w:val="center"/>
              <w:ind w:right="10"/>
              <w:spacing w:after="0"/>
              <w:rPr>
                <w:sz w:val="20"/>
                <w:szCs w:val="20"/>
                <w:color w:val="auto"/>
              </w:rPr>
            </w:pPr>
            <w:r>
              <w:rPr>
                <w:rFonts w:ascii="Arial" w:cs="Arial" w:eastAsia="Arial" w:hAnsi="Arial"/>
                <w:sz w:val="18"/>
                <w:szCs w:val="18"/>
                <w:color w:val="auto"/>
                <w:w w:val="99"/>
              </w:rPr>
              <w:t>Three months ended</w:t>
            </w:r>
          </w:p>
        </w:tc>
      </w:tr>
      <w:tr>
        <w:trPr>
          <w:trHeight w:val="221"/>
        </w:trPr>
        <w:tc>
          <w:tcPr>
            <w:tcW w:w="8720" w:type="dxa"/>
            <w:vAlign w:val="bottom"/>
          </w:tcPr>
          <w:p>
            <w:pPr>
              <w:spacing w:after="0"/>
              <w:rPr>
                <w:sz w:val="19"/>
                <w:szCs w:val="19"/>
                <w:color w:val="auto"/>
              </w:rPr>
            </w:pPr>
          </w:p>
        </w:tc>
        <w:tc>
          <w:tcPr>
            <w:tcW w:w="180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99"/>
              </w:rPr>
              <w:t>March 31,</w:t>
            </w:r>
          </w:p>
        </w:tc>
        <w:tc>
          <w:tcPr>
            <w:tcW w:w="720" w:type="dxa"/>
            <w:vAlign w:val="bottom"/>
            <w:tcBorders>
              <w:bottom w:val="single" w:sz="8" w:color="auto"/>
            </w:tcBorders>
          </w:tcPr>
          <w:p>
            <w:pPr>
              <w:spacing w:after="0"/>
              <w:rPr>
                <w:sz w:val="19"/>
                <w:szCs w:val="19"/>
                <w:color w:val="auto"/>
              </w:rPr>
            </w:pPr>
          </w:p>
        </w:tc>
      </w:tr>
      <w:tr>
        <w:trPr>
          <w:trHeight w:val="183"/>
        </w:trPr>
        <w:tc>
          <w:tcPr>
            <w:tcW w:w="8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rPr>
              <w:t>2026</w:t>
            </w: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2025</w:t>
            </w:r>
          </w:p>
        </w:tc>
      </w:tr>
      <w:tr>
        <w:trPr>
          <w:trHeight w:val="115"/>
        </w:trPr>
        <w:tc>
          <w:tcPr>
            <w:tcW w:w="872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1260" w:type="dxa"/>
            <w:vAlign w:val="bottom"/>
            <w:shd w:val="clear" w:color="auto" w:fill="D9D9D9"/>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84"/>
        </w:trPr>
        <w:tc>
          <w:tcPr>
            <w:tcW w:w="8720" w:type="dxa"/>
            <w:vAlign w:val="bottom"/>
          </w:tcPr>
          <w:p>
            <w:pPr>
              <w:spacing w:after="0" w:line="183" w:lineRule="exact"/>
              <w:rPr>
                <w:sz w:val="20"/>
                <w:szCs w:val="20"/>
                <w:color w:val="auto"/>
              </w:rPr>
            </w:pPr>
            <w:r>
              <w:rPr>
                <w:rFonts w:ascii="Arial" w:cs="Arial" w:eastAsia="Arial" w:hAnsi="Arial"/>
                <w:sz w:val="18"/>
                <w:szCs w:val="18"/>
                <w:color w:val="auto"/>
              </w:rPr>
              <w:t>Amount of unrealized gain/(loss) recognized in OCI</w:t>
            </w:r>
          </w:p>
        </w:tc>
        <w:tc>
          <w:tcPr>
            <w:tcW w:w="1260" w:type="dxa"/>
            <w:vAlign w:val="bottom"/>
            <w:shd w:val="clear" w:color="auto" w:fill="D9D9D9"/>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9"/>
        </w:trPr>
        <w:tc>
          <w:tcPr>
            <w:tcW w:w="8720" w:type="dxa"/>
            <w:vAlign w:val="bottom"/>
          </w:tcPr>
          <w:p>
            <w:pPr>
              <w:ind w:left="120"/>
              <w:spacing w:after="0" w:line="189" w:lineRule="exact"/>
              <w:rPr>
                <w:sz w:val="20"/>
                <w:szCs w:val="20"/>
                <w:color w:val="auto"/>
              </w:rPr>
            </w:pPr>
            <w:r>
              <w:rPr>
                <w:rFonts w:ascii="Arial" w:cs="Arial" w:eastAsia="Arial" w:hAnsi="Arial"/>
                <w:sz w:val="18"/>
                <w:szCs w:val="18"/>
                <w:color w:val="auto"/>
              </w:rPr>
              <w:t>Cash flow hedges</w:t>
            </w:r>
          </w:p>
        </w:tc>
        <w:tc>
          <w:tcPr>
            <w:tcW w:w="1260" w:type="dxa"/>
            <w:vAlign w:val="bottom"/>
            <w:shd w:val="clear" w:color="auto" w:fill="D9D9D9"/>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8720" w:type="dxa"/>
            <w:vAlign w:val="bottom"/>
          </w:tcPr>
          <w:p>
            <w:pPr>
              <w:ind w:left="240"/>
              <w:spacing w:after="0" w:line="189" w:lineRule="exact"/>
              <w:rPr>
                <w:sz w:val="20"/>
                <w:szCs w:val="20"/>
                <w:color w:val="auto"/>
              </w:rPr>
            </w:pPr>
            <w:r>
              <w:rPr>
                <w:rFonts w:ascii="Arial" w:cs="Arial" w:eastAsia="Arial" w:hAnsi="Arial"/>
                <w:sz w:val="18"/>
                <w:szCs w:val="18"/>
                <w:color w:val="auto"/>
              </w:rPr>
              <w:t>Interest rate contracts</w:t>
            </w:r>
          </w:p>
        </w:tc>
        <w:tc>
          <w:tcPr>
            <w:tcW w:w="126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3</w:t>
            </w:r>
          </w:p>
        </w:tc>
        <w:tc>
          <w:tcPr>
            <w:tcW w:w="5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(35)</w:t>
            </w:r>
          </w:p>
        </w:tc>
      </w:tr>
      <w:tr>
        <w:trPr>
          <w:trHeight w:val="189"/>
        </w:trPr>
        <w:tc>
          <w:tcPr>
            <w:tcW w:w="8720" w:type="dxa"/>
            <w:vAlign w:val="bottom"/>
          </w:tcPr>
          <w:p>
            <w:pPr>
              <w:ind w:left="240"/>
              <w:spacing w:after="0" w:line="189" w:lineRule="exact"/>
              <w:rPr>
                <w:sz w:val="20"/>
                <w:szCs w:val="20"/>
                <w:color w:val="auto"/>
              </w:rPr>
            </w:pPr>
            <w:r>
              <w:rPr>
                <w:rFonts w:ascii="Arial" w:cs="Arial" w:eastAsia="Arial" w:hAnsi="Arial"/>
                <w:sz w:val="18"/>
                <w:szCs w:val="18"/>
                <w:color w:val="auto"/>
              </w:rPr>
              <w:t>Commodity contracts</w:t>
            </w:r>
          </w:p>
        </w:tc>
        <w:tc>
          <w:tcPr>
            <w:tcW w:w="126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6"/>
                <w:szCs w:val="16"/>
                <w:color w:val="auto"/>
              </w:rPr>
            </w:pPr>
          </w:p>
        </w:tc>
        <w:tc>
          <w:tcPr>
            <w:tcW w:w="7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w:t>
            </w:r>
          </w:p>
        </w:tc>
      </w:tr>
      <w:tr>
        <w:trPr>
          <w:trHeight w:val="189"/>
        </w:trPr>
        <w:tc>
          <w:tcPr>
            <w:tcW w:w="8720" w:type="dxa"/>
            <w:vAlign w:val="bottom"/>
          </w:tcPr>
          <w:p>
            <w:pPr>
              <w:ind w:left="120"/>
              <w:spacing w:after="0" w:line="189" w:lineRule="exact"/>
              <w:rPr>
                <w:sz w:val="20"/>
                <w:szCs w:val="20"/>
                <w:color w:val="auto"/>
              </w:rPr>
            </w:pPr>
            <w:r>
              <w:rPr>
                <w:rFonts w:ascii="Arial" w:cs="Arial" w:eastAsia="Arial" w:hAnsi="Arial"/>
                <w:sz w:val="18"/>
                <w:szCs w:val="18"/>
                <w:color w:val="auto"/>
              </w:rPr>
              <w:t>Fair value hedges</w:t>
            </w:r>
          </w:p>
        </w:tc>
        <w:tc>
          <w:tcPr>
            <w:tcW w:w="1260" w:type="dxa"/>
            <w:vAlign w:val="bottom"/>
            <w:shd w:val="clear" w:color="auto" w:fill="D9D9D9"/>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1"/>
        </w:trPr>
        <w:tc>
          <w:tcPr>
            <w:tcW w:w="87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Foreign exchange contracts</w:t>
            </w:r>
          </w:p>
        </w:tc>
        <w:tc>
          <w:tcPr>
            <w:tcW w:w="1260" w:type="dxa"/>
            <w:vAlign w:val="bottom"/>
            <w:tcBorders>
              <w:bottom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183"/>
        </w:trPr>
        <w:tc>
          <w:tcPr>
            <w:tcW w:w="8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shd w:val="clear" w:color="auto" w:fill="D9D9D9"/>
          </w:tcPr>
          <w:p>
            <w:pPr>
              <w:jc w:val="right"/>
              <w:ind w:right="30"/>
              <w:spacing w:after="0" w:line="182" w:lineRule="exact"/>
              <w:rPr>
                <w:sz w:val="20"/>
                <w:szCs w:val="20"/>
                <w:color w:val="auto"/>
              </w:rPr>
            </w:pPr>
            <w:r>
              <w:rPr>
                <w:rFonts w:ascii="Arial" w:cs="Arial" w:eastAsia="Arial" w:hAnsi="Arial"/>
                <w:sz w:val="18"/>
                <w:szCs w:val="18"/>
                <w:b w:val="1"/>
                <w:bCs w:val="1"/>
                <w:color w:val="auto"/>
              </w:rPr>
              <w:t>3</w:t>
            </w: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w:t>
            </w:r>
          </w:p>
        </w:tc>
      </w:tr>
      <w:tr>
        <w:trPr>
          <w:trHeight w:val="150"/>
        </w:trPr>
        <w:tc>
          <w:tcPr>
            <w:tcW w:w="8720" w:type="dxa"/>
            <w:vAlign w:val="bottom"/>
          </w:tcPr>
          <w:p>
            <w:pPr>
              <w:spacing w:after="0" w:line="150" w:lineRule="exact"/>
              <w:rPr>
                <w:sz w:val="20"/>
                <w:szCs w:val="20"/>
                <w:color w:val="auto"/>
              </w:rPr>
            </w:pPr>
            <w:r>
              <w:rPr>
                <w:rFonts w:ascii="Arial" w:cs="Arial" w:eastAsia="Arial" w:hAnsi="Arial"/>
                <w:sz w:val="17"/>
                <w:szCs w:val="17"/>
                <w:color w:val="auto"/>
              </w:rPr>
              <w:t>Amount of loss reclassified from AOCI to earnings</w:t>
            </w:r>
          </w:p>
        </w:tc>
        <w:tc>
          <w:tcPr>
            <w:tcW w:w="1260" w:type="dxa"/>
            <w:vAlign w:val="bottom"/>
            <w:shd w:val="clear" w:color="auto" w:fill="D9D9D9"/>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9"/>
        </w:trPr>
        <w:tc>
          <w:tcPr>
            <w:tcW w:w="8720" w:type="dxa"/>
            <w:vAlign w:val="bottom"/>
          </w:tcPr>
          <w:p>
            <w:pPr>
              <w:ind w:left="240"/>
              <w:spacing w:after="0" w:line="189" w:lineRule="exact"/>
              <w:rPr>
                <w:sz w:val="20"/>
                <w:szCs w:val="20"/>
                <w:color w:val="auto"/>
              </w:rPr>
            </w:pPr>
            <w:r>
              <w:rPr>
                <w:rFonts w:ascii="Arial" w:cs="Arial" w:eastAsia="Arial" w:hAnsi="Arial"/>
                <w:sz w:val="18"/>
                <w:szCs w:val="18"/>
                <w:color w:val="auto"/>
              </w:rPr>
              <w:t>Foreign exchange contracts</w:t>
            </w:r>
            <w:r>
              <w:rPr>
                <w:rFonts w:ascii="Arial" w:cs="Arial" w:eastAsia="Arial" w:hAnsi="Arial"/>
                <w:sz w:val="14"/>
                <w:szCs w:val="14"/>
                <w:color w:val="auto"/>
              </w:rPr>
              <w:t>¹</w:t>
            </w:r>
          </w:p>
        </w:tc>
        <w:tc>
          <w:tcPr>
            <w:tcW w:w="126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6"/>
                <w:szCs w:val="16"/>
                <w:color w:val="auto"/>
              </w:rPr>
            </w:pPr>
          </w:p>
        </w:tc>
        <w:tc>
          <w:tcPr>
            <w:tcW w:w="7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12</w:t>
            </w:r>
          </w:p>
        </w:tc>
      </w:tr>
      <w:tr>
        <w:trPr>
          <w:trHeight w:val="221"/>
        </w:trPr>
        <w:tc>
          <w:tcPr>
            <w:tcW w:w="87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Interest rate contracts</w:t>
            </w:r>
            <w:r>
              <w:rPr>
                <w:rFonts w:ascii="Arial" w:cs="Arial" w:eastAsia="Arial" w:hAnsi="Arial"/>
                <w:sz w:val="14"/>
                <w:szCs w:val="14"/>
                <w:color w:val="auto"/>
              </w:rPr>
              <w:t>²</w:t>
            </w:r>
          </w:p>
        </w:tc>
        <w:tc>
          <w:tcPr>
            <w:tcW w:w="1260" w:type="dxa"/>
            <w:vAlign w:val="bottom"/>
            <w:tcBorders>
              <w:bottom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2</w:t>
            </w: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r>
      <w:tr>
        <w:trPr>
          <w:trHeight w:val="183"/>
        </w:trPr>
        <w:tc>
          <w:tcPr>
            <w:tcW w:w="8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shd w:val="clear" w:color="auto" w:fill="D9D9D9"/>
          </w:tcPr>
          <w:p>
            <w:pPr>
              <w:jc w:val="right"/>
              <w:ind w:right="30"/>
              <w:spacing w:after="0" w:line="182" w:lineRule="exact"/>
              <w:rPr>
                <w:sz w:val="20"/>
                <w:szCs w:val="20"/>
                <w:color w:val="auto"/>
              </w:rPr>
            </w:pPr>
            <w:r>
              <w:rPr>
                <w:rFonts w:ascii="Arial" w:cs="Arial" w:eastAsia="Arial" w:hAnsi="Arial"/>
                <w:sz w:val="18"/>
                <w:szCs w:val="18"/>
                <w:b w:val="1"/>
                <w:bCs w:val="1"/>
                <w:color w:val="auto"/>
              </w:rPr>
              <w:t>2</w:t>
            </w: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20</w:t>
            </w:r>
          </w:p>
        </w:tc>
      </w:tr>
    </w:tbl>
    <w:p>
      <w:pPr>
        <w:spacing w:after="0" w:line="33"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Reported within Interest expense and Other income/(expense) in the Consolidated Statements of Earnings.</w:t>
      </w:r>
    </w:p>
    <w:p>
      <w:pPr>
        <w:spacing w:after="0" w:line="13" w:lineRule="exact"/>
        <w:rPr>
          <w:rFonts w:ascii="Arial" w:cs="Arial" w:eastAsia="Arial" w:hAnsi="Arial"/>
          <w:sz w:val="14"/>
          <w:szCs w:val="14"/>
          <w:i w:val="1"/>
          <w:iCs w:val="1"/>
          <w:color w:val="auto"/>
        </w:rPr>
      </w:pPr>
    </w:p>
    <w:p>
      <w:pPr>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2  Reported within Interest expense in the Consolidated Statements of Earnings.</w:t>
      </w:r>
    </w:p>
    <w:p>
      <w:pPr>
        <w:spacing w:after="0" w:line="18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estimate that a gain of $4 million from AOCI related to open cash flow hedges will be reclassified to earnings in the next 12 months. Actual amounts reclassified to earnings depend on the foreign exchange rates, interest rates and commodity prices in effect when derivative contracts that are currently outstanding mature. For all forecasted transactions, the maximum term over which we are hedging exposures to the variability of cash flows is two years as at March 31, 2026.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Non-Qualifying Derivatives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unrealized gains and losses associated with changes in the fair value of our non-qualifying derivatives:</w:t>
      </w:r>
    </w:p>
    <w:tbl>
      <w:tblPr>
        <w:tblLayout w:type="fixed"/>
        <w:tblInd w:w="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2520" w:type="dxa"/>
            <w:vAlign w:val="bottom"/>
            <w:gridSpan w:val="3"/>
          </w:tcPr>
          <w:p>
            <w:pPr>
              <w:jc w:val="center"/>
              <w:ind w:right="10"/>
              <w:spacing w:after="0" w:line="171" w:lineRule="exact"/>
              <w:rPr>
                <w:sz w:val="20"/>
                <w:szCs w:val="20"/>
                <w:color w:val="auto"/>
              </w:rPr>
            </w:pPr>
            <w:r>
              <w:rPr>
                <w:rFonts w:ascii="Arial" w:cs="Arial" w:eastAsia="Arial" w:hAnsi="Arial"/>
                <w:sz w:val="18"/>
                <w:szCs w:val="18"/>
                <w:color w:val="auto"/>
                <w:w w:val="99"/>
              </w:rPr>
              <w:t>Three months ended</w:t>
            </w:r>
          </w:p>
        </w:tc>
      </w:tr>
      <w:tr>
        <w:trPr>
          <w:trHeight w:val="221"/>
        </w:trPr>
        <w:tc>
          <w:tcPr>
            <w:tcW w:w="8720" w:type="dxa"/>
            <w:vAlign w:val="bottom"/>
          </w:tcPr>
          <w:p>
            <w:pPr>
              <w:spacing w:after="0"/>
              <w:rPr>
                <w:sz w:val="19"/>
                <w:szCs w:val="19"/>
                <w:color w:val="auto"/>
              </w:rPr>
            </w:pPr>
          </w:p>
        </w:tc>
        <w:tc>
          <w:tcPr>
            <w:tcW w:w="180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99"/>
              </w:rPr>
              <w:t>March 31,</w:t>
            </w:r>
          </w:p>
        </w:tc>
        <w:tc>
          <w:tcPr>
            <w:tcW w:w="720" w:type="dxa"/>
            <w:vAlign w:val="bottom"/>
            <w:tcBorders>
              <w:bottom w:val="single" w:sz="8" w:color="auto"/>
            </w:tcBorders>
          </w:tcPr>
          <w:p>
            <w:pPr>
              <w:spacing w:after="0"/>
              <w:rPr>
                <w:sz w:val="19"/>
                <w:szCs w:val="19"/>
                <w:color w:val="auto"/>
              </w:rPr>
            </w:pPr>
          </w:p>
        </w:tc>
      </w:tr>
      <w:tr>
        <w:trPr>
          <w:trHeight w:val="183"/>
        </w:trPr>
        <w:tc>
          <w:tcPr>
            <w:tcW w:w="8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rPr>
              <w:t>2026</w:t>
            </w: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2025</w:t>
            </w:r>
          </w:p>
        </w:tc>
      </w:tr>
      <w:tr>
        <w:trPr>
          <w:trHeight w:val="122"/>
        </w:trPr>
        <w:tc>
          <w:tcPr>
            <w:tcW w:w="872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1260" w:type="dxa"/>
            <w:vAlign w:val="bottom"/>
            <w:tcBorders>
              <w:bottom w:val="single" w:sz="8" w:color="D9D9D9"/>
            </w:tcBorders>
            <w:shd w:val="clear" w:color="auto" w:fill="D9D9D9"/>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7"/>
        </w:trPr>
        <w:tc>
          <w:tcPr>
            <w:tcW w:w="8720" w:type="dxa"/>
            <w:vAlign w:val="bottom"/>
          </w:tcPr>
          <w:p>
            <w:pPr>
              <w:spacing w:after="0" w:line="157" w:lineRule="exact"/>
              <w:rPr>
                <w:sz w:val="20"/>
                <w:szCs w:val="20"/>
                <w:color w:val="auto"/>
              </w:rPr>
            </w:pPr>
            <w:r>
              <w:rPr>
                <w:rFonts w:ascii="Arial" w:cs="Arial" w:eastAsia="Arial" w:hAnsi="Arial"/>
                <w:sz w:val="18"/>
                <w:szCs w:val="18"/>
                <w:color w:val="auto"/>
              </w:rPr>
              <w:t>Foreign exchange contracts</w:t>
            </w:r>
            <w:r>
              <w:rPr>
                <w:rFonts w:ascii="Arial" w:cs="Arial" w:eastAsia="Arial" w:hAnsi="Arial"/>
                <w:sz w:val="9"/>
                <w:szCs w:val="9"/>
                <w:color w:val="auto"/>
              </w:rPr>
              <w:t>1</w:t>
            </w:r>
          </w:p>
        </w:tc>
        <w:tc>
          <w:tcPr>
            <w:tcW w:w="1260" w:type="dxa"/>
            <w:vAlign w:val="bottom"/>
            <w:shd w:val="clear" w:color="auto" w:fill="DBDBDB"/>
          </w:tcPr>
          <w:p>
            <w:pPr>
              <w:jc w:val="right"/>
              <w:spacing w:after="0" w:line="157" w:lineRule="exact"/>
              <w:rPr>
                <w:sz w:val="20"/>
                <w:szCs w:val="20"/>
                <w:color w:val="auto"/>
              </w:rPr>
            </w:pPr>
            <w:r>
              <w:rPr>
                <w:rFonts w:ascii="Arial" w:cs="Arial" w:eastAsia="Arial" w:hAnsi="Arial"/>
                <w:sz w:val="18"/>
                <w:szCs w:val="18"/>
                <w:b w:val="1"/>
                <w:bCs w:val="1"/>
                <w:color w:val="auto"/>
              </w:rPr>
              <w:t>(428)</w:t>
            </w:r>
          </w:p>
        </w:tc>
        <w:tc>
          <w:tcPr>
            <w:tcW w:w="540" w:type="dxa"/>
            <w:vAlign w:val="bottom"/>
          </w:tcPr>
          <w:p>
            <w:pPr>
              <w:spacing w:after="0"/>
              <w:rPr>
                <w:sz w:val="13"/>
                <w:szCs w:val="13"/>
                <w:color w:val="auto"/>
              </w:rPr>
            </w:pPr>
          </w:p>
        </w:tc>
        <w:tc>
          <w:tcPr>
            <w:tcW w:w="720" w:type="dxa"/>
            <w:vAlign w:val="bottom"/>
          </w:tcPr>
          <w:p>
            <w:pPr>
              <w:jc w:val="right"/>
              <w:ind w:right="30"/>
              <w:spacing w:after="0" w:line="157" w:lineRule="exact"/>
              <w:rPr>
                <w:sz w:val="20"/>
                <w:szCs w:val="20"/>
                <w:color w:val="auto"/>
              </w:rPr>
            </w:pPr>
            <w:r>
              <w:rPr>
                <w:rFonts w:ascii="Arial" w:cs="Arial" w:eastAsia="Arial" w:hAnsi="Arial"/>
                <w:sz w:val="18"/>
                <w:szCs w:val="18"/>
                <w:color w:val="auto"/>
              </w:rPr>
              <w:t>38</w:t>
            </w:r>
          </w:p>
        </w:tc>
      </w:tr>
      <w:tr>
        <w:trPr>
          <w:trHeight w:val="189"/>
        </w:trPr>
        <w:tc>
          <w:tcPr>
            <w:tcW w:w="8720" w:type="dxa"/>
            <w:vAlign w:val="bottom"/>
          </w:tcPr>
          <w:p>
            <w:pPr>
              <w:spacing w:after="0" w:line="189" w:lineRule="exact"/>
              <w:rPr>
                <w:sz w:val="20"/>
                <w:szCs w:val="20"/>
                <w:color w:val="auto"/>
              </w:rPr>
            </w:pPr>
            <w:r>
              <w:rPr>
                <w:rFonts w:ascii="Arial" w:cs="Arial" w:eastAsia="Arial" w:hAnsi="Arial"/>
                <w:sz w:val="18"/>
                <w:szCs w:val="18"/>
                <w:color w:val="auto"/>
              </w:rPr>
              <w:t>Interest rate contracts</w:t>
            </w:r>
            <w:r>
              <w:rPr>
                <w:rFonts w:ascii="Arial" w:cs="Arial" w:eastAsia="Arial" w:hAnsi="Arial"/>
                <w:sz w:val="9"/>
                <w:szCs w:val="9"/>
                <w:color w:val="auto"/>
              </w:rPr>
              <w:t>2</w:t>
            </w:r>
          </w:p>
        </w:tc>
        <w:tc>
          <w:tcPr>
            <w:tcW w:w="1260" w:type="dxa"/>
            <w:vAlign w:val="bottom"/>
            <w:shd w:val="clear" w:color="auto" w:fill="DBDBDB"/>
          </w:tcPr>
          <w:p>
            <w:pPr>
              <w:jc w:val="right"/>
              <w:ind w:right="30"/>
              <w:spacing w:after="0" w:line="189" w:lineRule="exact"/>
              <w:rPr>
                <w:sz w:val="20"/>
                <w:szCs w:val="20"/>
                <w:color w:val="auto"/>
              </w:rPr>
            </w:pPr>
            <w:r>
              <w:rPr>
                <w:rFonts w:ascii="Arial" w:cs="Arial" w:eastAsia="Arial" w:hAnsi="Arial"/>
                <w:sz w:val="18"/>
                <w:szCs w:val="18"/>
                <w:b w:val="1"/>
                <w:bCs w:val="1"/>
                <w:color w:val="auto"/>
              </w:rPr>
              <w:t>32</w:t>
            </w:r>
          </w:p>
        </w:tc>
        <w:tc>
          <w:tcPr>
            <w:tcW w:w="5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(73)</w:t>
            </w:r>
          </w:p>
        </w:tc>
      </w:tr>
      <w:tr>
        <w:trPr>
          <w:trHeight w:val="189"/>
        </w:trPr>
        <w:tc>
          <w:tcPr>
            <w:tcW w:w="8720" w:type="dxa"/>
            <w:vAlign w:val="bottom"/>
          </w:tcPr>
          <w:p>
            <w:pPr>
              <w:spacing w:after="0" w:line="189" w:lineRule="exact"/>
              <w:rPr>
                <w:sz w:val="20"/>
                <w:szCs w:val="20"/>
                <w:color w:val="auto"/>
              </w:rPr>
            </w:pPr>
            <w:r>
              <w:rPr>
                <w:rFonts w:ascii="Arial" w:cs="Arial" w:eastAsia="Arial" w:hAnsi="Arial"/>
                <w:sz w:val="18"/>
                <w:szCs w:val="18"/>
                <w:color w:val="auto"/>
              </w:rPr>
              <w:t>Commodity contracts</w:t>
            </w:r>
            <w:r>
              <w:rPr>
                <w:rFonts w:ascii="Arial" w:cs="Arial" w:eastAsia="Arial" w:hAnsi="Arial"/>
                <w:sz w:val="9"/>
                <w:szCs w:val="9"/>
                <w:color w:val="auto"/>
              </w:rPr>
              <w:t>3</w:t>
            </w:r>
          </w:p>
        </w:tc>
        <w:tc>
          <w:tcPr>
            <w:tcW w:w="1260" w:type="dxa"/>
            <w:vAlign w:val="bottom"/>
            <w:shd w:val="clear" w:color="auto" w:fill="DBDBDB"/>
          </w:tcPr>
          <w:p>
            <w:pPr>
              <w:jc w:val="right"/>
              <w:ind w:right="30"/>
              <w:spacing w:after="0" w:line="189" w:lineRule="exact"/>
              <w:rPr>
                <w:sz w:val="20"/>
                <w:szCs w:val="20"/>
                <w:color w:val="auto"/>
              </w:rPr>
            </w:pPr>
            <w:r>
              <w:rPr>
                <w:rFonts w:ascii="Arial" w:cs="Arial" w:eastAsia="Arial" w:hAnsi="Arial"/>
                <w:sz w:val="18"/>
                <w:szCs w:val="18"/>
                <w:b w:val="1"/>
                <w:bCs w:val="1"/>
                <w:color w:val="auto"/>
              </w:rPr>
              <w:t>(544)</w:t>
            </w:r>
          </w:p>
        </w:tc>
        <w:tc>
          <w:tcPr>
            <w:tcW w:w="540" w:type="dxa"/>
            <w:vAlign w:val="bottom"/>
          </w:tcPr>
          <w:p>
            <w:pPr>
              <w:spacing w:after="0"/>
              <w:rPr>
                <w:sz w:val="16"/>
                <w:szCs w:val="16"/>
                <w:color w:val="auto"/>
              </w:rPr>
            </w:pPr>
          </w:p>
        </w:tc>
        <w:tc>
          <w:tcPr>
            <w:tcW w:w="7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122</w:t>
            </w:r>
          </w:p>
        </w:tc>
      </w:tr>
      <w:tr>
        <w:trPr>
          <w:trHeight w:val="221"/>
        </w:trPr>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contracts</w:t>
            </w:r>
            <w:r>
              <w:rPr>
                <w:rFonts w:ascii="Arial" w:cs="Arial" w:eastAsia="Arial" w:hAnsi="Arial"/>
                <w:sz w:val="9"/>
                <w:szCs w:val="9"/>
                <w:color w:val="auto"/>
              </w:rPr>
              <w:t>4</w:t>
            </w:r>
          </w:p>
        </w:tc>
        <w:tc>
          <w:tcPr>
            <w:tcW w:w="126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183"/>
        </w:trPr>
        <w:tc>
          <w:tcPr>
            <w:tcW w:w="872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Total unrealized derivative fair value gain/(loss), net</w:t>
            </w:r>
          </w:p>
        </w:tc>
        <w:tc>
          <w:tcPr>
            <w:tcW w:w="1260" w:type="dxa"/>
            <w:vAlign w:val="bottom"/>
            <w:tcBorders>
              <w:bottom w:val="single" w:sz="8" w:color="auto"/>
            </w:tcBorders>
            <w:shd w:val="clear" w:color="auto" w:fill="DBDBDB"/>
          </w:tcPr>
          <w:p>
            <w:pPr>
              <w:jc w:val="right"/>
              <w:ind w:right="30"/>
              <w:spacing w:after="0" w:line="182" w:lineRule="exact"/>
              <w:rPr>
                <w:sz w:val="20"/>
                <w:szCs w:val="20"/>
                <w:color w:val="auto"/>
              </w:rPr>
            </w:pPr>
            <w:r>
              <w:rPr>
                <w:rFonts w:ascii="Arial" w:cs="Arial" w:eastAsia="Arial" w:hAnsi="Arial"/>
                <w:sz w:val="18"/>
                <w:szCs w:val="18"/>
                <w:b w:val="1"/>
                <w:bCs w:val="1"/>
                <w:color w:val="auto"/>
              </w:rPr>
              <w:t>(940)</w:t>
            </w: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84</w:t>
            </w:r>
          </w:p>
        </w:tc>
      </w:tr>
    </w:tbl>
    <w:p>
      <w:pPr>
        <w:spacing w:after="0" w:line="3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Reported within Other income/(expense) in the Consolidated Statements of Earnings.</w:t>
      </w:r>
    </w:p>
    <w:p>
      <w:pPr>
        <w:spacing w:after="0" w:line="13" w:lineRule="exact"/>
        <w:rPr>
          <w:rFonts w:ascii="Arial" w:cs="Arial" w:eastAsia="Arial" w:hAnsi="Arial"/>
          <w:sz w:val="14"/>
          <w:szCs w:val="14"/>
          <w:i w:val="1"/>
          <w:iCs w:val="1"/>
          <w:color w:val="auto"/>
        </w:rPr>
      </w:pPr>
    </w:p>
    <w:p>
      <w:pPr>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2  Reported within Interest expense in the Consolidated Statements of Earnings.</w:t>
      </w:r>
    </w:p>
    <w:p>
      <w:pPr>
        <w:spacing w:after="0" w:line="1" w:lineRule="exact"/>
        <w:rPr>
          <w:rFonts w:ascii="Arial" w:cs="Arial" w:eastAsia="Arial" w:hAnsi="Arial"/>
          <w:sz w:val="14"/>
          <w:szCs w:val="14"/>
          <w:i w:val="1"/>
          <w:iCs w:val="1"/>
          <w:color w:val="auto"/>
        </w:rPr>
      </w:pPr>
    </w:p>
    <w:p>
      <w:pPr>
        <w:ind w:left="180" w:right="40" w:hanging="180"/>
        <w:spacing w:after="0" w:line="251" w:lineRule="auto"/>
        <w:rPr>
          <w:rFonts w:ascii="Arial" w:cs="Arial" w:eastAsia="Arial" w:hAnsi="Arial"/>
          <w:sz w:val="14"/>
          <w:szCs w:val="14"/>
          <w:i w:val="1"/>
          <w:iCs w:val="1"/>
          <w:color w:val="auto"/>
        </w:rPr>
      </w:pPr>
      <w:r>
        <w:rPr>
          <w:rFonts w:ascii="Arial" w:cs="Arial" w:eastAsia="Arial" w:hAnsi="Arial"/>
          <w:sz w:val="14"/>
          <w:szCs w:val="14"/>
          <w:i w:val="1"/>
          <w:iCs w:val="1"/>
          <w:color w:val="auto"/>
        </w:rPr>
        <w:t>3 For the respective three months ended periods, reported within Transportation and other services revenues (2026 - $8 million loss; 2025 - $86 million gain), Commodity sales (2026 - $376 million loss; 2025 - $24 million loss), Commodity costs (2026 - $95 million loss; 2025 - $70 million gain) and Operating and administrative expense (2026 - $18</w:t>
      </w:r>
    </w:p>
    <w:p>
      <w:pPr>
        <w:spacing w:after="0" w:line="1" w:lineRule="exact"/>
        <w:rPr>
          <w:sz w:val="20"/>
          <w:szCs w:val="20"/>
          <w:color w:val="auto"/>
        </w:rPr>
      </w:pPr>
    </w:p>
    <w:p>
      <w:pPr>
        <w:ind w:left="180" w:right="20"/>
        <w:spacing w:after="0" w:line="241" w:lineRule="auto"/>
        <w:rPr>
          <w:sz w:val="20"/>
          <w:szCs w:val="20"/>
          <w:color w:val="auto"/>
        </w:rPr>
      </w:pPr>
      <w:r>
        <w:rPr>
          <w:rFonts w:ascii="Arial" w:cs="Arial" w:eastAsia="Arial" w:hAnsi="Arial"/>
          <w:sz w:val="14"/>
          <w:szCs w:val="14"/>
          <w:i w:val="1"/>
          <w:iCs w:val="1"/>
          <w:color w:val="auto"/>
        </w:rPr>
        <w:t>million loss; 2025 - $2 million loss) in the Consolidated Statements of Earnings. The fair value change in our US Gas Utilities is deferred as regulatory assets/(liabilities) (2026 - $47 million loss; 2025 - $8 million loss).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4  Reported within Operating and administrative expense in the Consolidated Statements of Earnings.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ind w:firstLine="5"/>
        <w:spacing w:after="0" w:line="243" w:lineRule="auto"/>
        <w:rPr>
          <w:sz w:val="20"/>
          <w:szCs w:val="20"/>
          <w:color w:val="auto"/>
        </w:rPr>
      </w:pPr>
      <w:r>
        <w:rPr>
          <w:rFonts w:ascii="Arial" w:cs="Arial" w:eastAsia="Arial" w:hAnsi="Arial"/>
          <w:sz w:val="18"/>
          <w:szCs w:val="18"/>
          <w:color w:val="auto"/>
        </w:rPr>
        <w:t>Liquidity risk is the risk that we will not be able to meet our financial obligations, including commitments and guarantees, as they become due. In order to mitigate this risk, we forecast cash requirements over a 12-month rolling time period to determine whether sufficient funds will be available. Our primary sources of liquidity and capital resources are funds generated from operations, the issuance of commercial paper and draws under committed credit facilities and long-term debt, which includes debentures and medium-term notes. Our shelf prospectuses with securities regulators enable ready access to either the Canadian or US public capital markets, subject to market conditions. In addition, we maintain significant liquidity through committed credit facilities with a diversified group of banks and institutions which enables us to fund all anticipated requirements through extended periods of market disruptions without accessing the capital markets. We were in compliance with all the terms and conditions of our committed credit facility agreements and term debt indentures as at March 31, 2026. As a result, all credit facilities are available to us and the banks are obligated to fund us under the terms of the facilities. We also identify other potential sources of debt and equity funding alternatives, including reinstatement of our dividend reinvestment and share purchase plan or at-the-market equity issuances.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4" w:lineRule="exact"/>
        <w:rPr>
          <w:sz w:val="20"/>
          <w:szCs w:val="20"/>
          <w:color w:val="auto"/>
        </w:rPr>
      </w:pPr>
    </w:p>
    <w:p>
      <w:pPr>
        <w:ind w:firstLine="5"/>
        <w:spacing w:after="0" w:line="242" w:lineRule="auto"/>
        <w:rPr>
          <w:sz w:val="20"/>
          <w:szCs w:val="20"/>
          <w:color w:val="auto"/>
        </w:rPr>
      </w:pPr>
      <w:r>
        <w:rPr>
          <w:rFonts w:ascii="Arial" w:cs="Arial" w:eastAsia="Arial" w:hAnsi="Arial"/>
          <w:sz w:val="18"/>
          <w:szCs w:val="18"/>
          <w:color w:val="auto"/>
        </w:rPr>
        <w:t>Entering into derivative instruments may result in exposure to credit risk from the possibility that a counterparty will default on its contractual obligations. In order to mitigate this risk, we enter into risk management transactions primarily with institutions that possess strong investment grade credit ratings. Credit risk relating to derivative counterparties is mitigated through the maintenance and monitoring of credit exposure limits, contractual requirements and netting arrangements. We also review counterparty financial strength using external credit rating services and other analytical tools to manage credit risk.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have credit concentrations and credit exposure, with respect to derivative instruments, in the following counterparty segments:</w:t>
      </w: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820" w:type="dxa"/>
            <w:vAlign w:val="bottom"/>
          </w:tcPr>
          <w:p>
            <w:pPr>
              <w:jc w:val="right"/>
              <w:ind w:right="30"/>
              <w:spacing w:after="0" w:line="171" w:lineRule="exact"/>
              <w:rPr>
                <w:sz w:val="20"/>
                <w:szCs w:val="20"/>
                <w:color w:val="auto"/>
              </w:rPr>
            </w:pPr>
            <w:r>
              <w:rPr>
                <w:rFonts w:ascii="Arial" w:cs="Arial" w:eastAsia="Arial" w:hAnsi="Arial"/>
                <w:sz w:val="18"/>
                <w:szCs w:val="18"/>
                <w:b w:val="1"/>
                <w:bCs w:val="1"/>
                <w:color w:val="auto"/>
              </w:rPr>
              <w:t>March 31,</w:t>
            </w:r>
          </w:p>
        </w:tc>
        <w:tc>
          <w:tcPr>
            <w:tcW w:w="1840" w:type="dxa"/>
            <w:vAlign w:val="bottom"/>
          </w:tcPr>
          <w:p>
            <w:pPr>
              <w:jc w:val="right"/>
              <w:ind w:right="30"/>
              <w:spacing w:after="0" w:line="171" w:lineRule="exact"/>
              <w:rPr>
                <w:sz w:val="20"/>
                <w:szCs w:val="20"/>
                <w:color w:val="auto"/>
              </w:rPr>
            </w:pPr>
            <w:r>
              <w:rPr>
                <w:rFonts w:ascii="Arial" w:cs="Arial" w:eastAsia="Arial" w:hAnsi="Arial"/>
                <w:sz w:val="18"/>
                <w:szCs w:val="18"/>
                <w:color w:val="auto"/>
              </w:rPr>
              <w:t>December 31,</w:t>
            </w:r>
          </w:p>
        </w:tc>
      </w:tr>
      <w:tr>
        <w:trPr>
          <w:trHeight w:val="221"/>
        </w:trPr>
        <w:tc>
          <w:tcPr>
            <w:tcW w:w="75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2026</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2025</w:t>
            </w:r>
          </w:p>
        </w:tc>
      </w:tr>
      <w:tr>
        <w:trPr>
          <w:trHeight w:val="115"/>
        </w:trPr>
        <w:tc>
          <w:tcPr>
            <w:tcW w:w="758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1820" w:type="dxa"/>
            <w:vAlign w:val="bottom"/>
            <w:shd w:val="clear" w:color="auto" w:fill="D9D9D9"/>
          </w:tcPr>
          <w:p>
            <w:pPr>
              <w:spacing w:after="0"/>
              <w:rPr>
                <w:sz w:val="10"/>
                <w:szCs w:val="10"/>
                <w:color w:val="auto"/>
              </w:rPr>
            </w:pPr>
          </w:p>
        </w:tc>
        <w:tc>
          <w:tcPr>
            <w:tcW w:w="1840" w:type="dxa"/>
            <w:vAlign w:val="bottom"/>
          </w:tcPr>
          <w:p>
            <w:pPr>
              <w:spacing w:after="0"/>
              <w:rPr>
                <w:sz w:val="10"/>
                <w:szCs w:val="10"/>
                <w:color w:val="auto"/>
              </w:rPr>
            </w:pPr>
          </w:p>
        </w:tc>
      </w:tr>
      <w:tr>
        <w:trPr>
          <w:trHeight w:val="184"/>
        </w:trPr>
        <w:tc>
          <w:tcPr>
            <w:tcW w:w="7580" w:type="dxa"/>
            <w:vAlign w:val="bottom"/>
          </w:tcPr>
          <w:p>
            <w:pPr>
              <w:spacing w:after="0" w:line="183" w:lineRule="exact"/>
              <w:rPr>
                <w:sz w:val="20"/>
                <w:szCs w:val="20"/>
                <w:color w:val="auto"/>
              </w:rPr>
            </w:pPr>
            <w:r>
              <w:rPr>
                <w:rFonts w:ascii="Arial" w:cs="Arial" w:eastAsia="Arial" w:hAnsi="Arial"/>
                <w:sz w:val="18"/>
                <w:szCs w:val="18"/>
                <w:color w:val="auto"/>
              </w:rPr>
              <w:t>Canadian financial institutions</w:t>
            </w:r>
          </w:p>
        </w:tc>
        <w:tc>
          <w:tcPr>
            <w:tcW w:w="1820" w:type="dxa"/>
            <w:vAlign w:val="bottom"/>
            <w:shd w:val="clear" w:color="auto" w:fill="D9D9D9"/>
          </w:tcPr>
          <w:p>
            <w:pPr>
              <w:jc w:val="right"/>
              <w:ind w:right="30"/>
              <w:spacing w:after="0" w:line="183" w:lineRule="exact"/>
              <w:rPr>
                <w:sz w:val="20"/>
                <w:szCs w:val="20"/>
                <w:color w:val="auto"/>
              </w:rPr>
            </w:pPr>
            <w:r>
              <w:rPr>
                <w:rFonts w:ascii="Arial" w:cs="Arial" w:eastAsia="Arial" w:hAnsi="Arial"/>
                <w:sz w:val="18"/>
                <w:szCs w:val="18"/>
                <w:b w:val="1"/>
                <w:bCs w:val="1"/>
                <w:color w:val="auto"/>
              </w:rPr>
              <w:t>175</w:t>
            </w:r>
          </w:p>
        </w:tc>
        <w:tc>
          <w:tcPr>
            <w:tcW w:w="1840" w:type="dxa"/>
            <w:vAlign w:val="bottom"/>
          </w:tcPr>
          <w:p>
            <w:pPr>
              <w:jc w:val="right"/>
              <w:ind w:right="30"/>
              <w:spacing w:after="0" w:line="183" w:lineRule="exact"/>
              <w:rPr>
                <w:sz w:val="20"/>
                <w:szCs w:val="20"/>
                <w:color w:val="auto"/>
              </w:rPr>
            </w:pPr>
            <w:r>
              <w:rPr>
                <w:rFonts w:ascii="Arial" w:cs="Arial" w:eastAsia="Arial" w:hAnsi="Arial"/>
                <w:sz w:val="18"/>
                <w:szCs w:val="18"/>
                <w:color w:val="auto"/>
              </w:rPr>
              <w:t>200</w:t>
            </w: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8"/>
                <w:szCs w:val="18"/>
                <w:color w:val="auto"/>
              </w:rPr>
              <w:t>US financial institutions</w:t>
            </w:r>
          </w:p>
        </w:tc>
        <w:tc>
          <w:tcPr>
            <w:tcW w:w="182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1,152</w:t>
            </w:r>
          </w:p>
        </w:tc>
        <w:tc>
          <w:tcPr>
            <w:tcW w:w="1840" w:type="dxa"/>
            <w:vAlign w:val="bottom"/>
          </w:tcPr>
          <w:p>
            <w:pPr>
              <w:jc w:val="right"/>
              <w:ind w:right="30"/>
              <w:spacing w:after="0" w:line="189" w:lineRule="exact"/>
              <w:rPr>
                <w:sz w:val="20"/>
                <w:szCs w:val="20"/>
                <w:color w:val="auto"/>
              </w:rPr>
            </w:pPr>
            <w:r>
              <w:rPr>
                <w:rFonts w:ascii="Arial" w:cs="Arial" w:eastAsia="Arial" w:hAnsi="Arial"/>
                <w:sz w:val="18"/>
                <w:szCs w:val="18"/>
                <w:color w:val="auto"/>
              </w:rPr>
              <w:t>260</w:t>
            </w: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8"/>
                <w:szCs w:val="18"/>
                <w:color w:val="auto"/>
              </w:rPr>
              <w:t>European financial institutions</w:t>
            </w:r>
          </w:p>
        </w:tc>
        <w:tc>
          <w:tcPr>
            <w:tcW w:w="182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65</w:t>
            </w:r>
          </w:p>
        </w:tc>
        <w:tc>
          <w:tcPr>
            <w:tcW w:w="1840" w:type="dxa"/>
            <w:vAlign w:val="bottom"/>
          </w:tcPr>
          <w:p>
            <w:pPr>
              <w:jc w:val="right"/>
              <w:ind w:right="30"/>
              <w:spacing w:after="0" w:line="189" w:lineRule="exact"/>
              <w:rPr>
                <w:sz w:val="20"/>
                <w:szCs w:val="20"/>
                <w:color w:val="auto"/>
              </w:rPr>
            </w:pPr>
            <w:r>
              <w:rPr>
                <w:rFonts w:ascii="Arial" w:cs="Arial" w:eastAsia="Arial" w:hAnsi="Arial"/>
                <w:sz w:val="18"/>
                <w:szCs w:val="18"/>
                <w:color w:val="auto"/>
              </w:rPr>
              <w:t>57</w:t>
            </w: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8"/>
                <w:szCs w:val="18"/>
                <w:color w:val="auto"/>
              </w:rPr>
              <w:t>Asian financial institutions</w:t>
            </w:r>
          </w:p>
        </w:tc>
        <w:tc>
          <w:tcPr>
            <w:tcW w:w="182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49</w:t>
            </w:r>
          </w:p>
        </w:tc>
        <w:tc>
          <w:tcPr>
            <w:tcW w:w="1840" w:type="dxa"/>
            <w:vAlign w:val="bottom"/>
          </w:tcPr>
          <w:p>
            <w:pPr>
              <w:jc w:val="right"/>
              <w:ind w:right="30"/>
              <w:spacing w:after="0" w:line="189" w:lineRule="exact"/>
              <w:rPr>
                <w:sz w:val="20"/>
                <w:szCs w:val="20"/>
                <w:color w:val="auto"/>
              </w:rPr>
            </w:pPr>
            <w:r>
              <w:rPr>
                <w:rFonts w:ascii="Arial" w:cs="Arial" w:eastAsia="Arial" w:hAnsi="Arial"/>
                <w:sz w:val="18"/>
                <w:szCs w:val="18"/>
                <w:color w:val="auto"/>
              </w:rPr>
              <w:t>39</w:t>
            </w:r>
          </w:p>
        </w:tc>
      </w:tr>
      <w:tr>
        <w:trPr>
          <w:trHeight w:val="221"/>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1</w:t>
            </w:r>
          </w:p>
        </w:tc>
        <w:tc>
          <w:tcPr>
            <w:tcW w:w="1820" w:type="dxa"/>
            <w:vAlign w:val="bottom"/>
            <w:tcBorders>
              <w:bottom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375</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302</w:t>
            </w:r>
          </w:p>
        </w:tc>
      </w:tr>
      <w:tr>
        <w:trPr>
          <w:trHeight w:val="183"/>
        </w:trPr>
        <w:tc>
          <w:tcPr>
            <w:tcW w:w="75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shd w:val="clear" w:color="auto" w:fill="D9D9D9"/>
          </w:tcPr>
          <w:p>
            <w:pPr>
              <w:jc w:val="right"/>
              <w:ind w:right="30"/>
              <w:spacing w:after="0" w:line="182" w:lineRule="exact"/>
              <w:rPr>
                <w:sz w:val="20"/>
                <w:szCs w:val="20"/>
                <w:color w:val="auto"/>
              </w:rPr>
            </w:pPr>
            <w:r>
              <w:rPr>
                <w:rFonts w:ascii="Arial" w:cs="Arial" w:eastAsia="Arial" w:hAnsi="Arial"/>
                <w:sz w:val="18"/>
                <w:szCs w:val="18"/>
                <w:b w:val="1"/>
                <w:bCs w:val="1"/>
                <w:color w:val="auto"/>
              </w:rPr>
              <w:t>1,816</w:t>
            </w:r>
          </w:p>
        </w:tc>
        <w:tc>
          <w:tcPr>
            <w:tcW w:w="184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858</w:t>
            </w:r>
          </w:p>
        </w:tc>
      </w:tr>
    </w:tbl>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Other is comprised of commodity clearing house and crude oil, natural gas and power counterparties.</w:t>
      </w:r>
    </w:p>
    <w:p>
      <w:pPr>
        <w:spacing w:after="0" w:line="20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As at March 31, 2026, we did not provide any letters of credit in lieu of providing cash collateral to our counterparties pursuant to the terms of the relevant ISDA agreements. We held no cash collateral on derivative asset exposures as at March 31, 2026 and December 31, 2025.</w:t>
      </w:r>
    </w:p>
    <w:p>
      <w:pPr>
        <w:spacing w:after="0" w:line="15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Gross derivative balances have been presented without the effects of collateral posted. Derivative assets are adjusted for non-performance risk of our counterparties using their credit default swap spread rates and are reflected at fair value. For derivative liabilities, our non-performance risk is considered in the valuation.</w:t>
      </w:r>
    </w:p>
    <w:p>
      <w:pPr>
        <w:spacing w:after="0" w:line="16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Credit risk also arises from trade and other long-term receivables, and is mitigated through credit exposure limits and contractual requirements, the assessment of counterparty credit ratings and netting arrangements. Within the Gas Distribution and Storage segment, credit risk is mitigated by the utilities' large and diversified customer base and the ability to recover expected credit losses through the ratemaking process. We actively monitor the financial strength of large industrial customers and, in select cases, have obtained additional security to minimize the risk of default on receivables. Generally, we utilize a loss allowance matrix which contemplates historical credit losses by age of receivables, adjusted for any forward-looking information and management expectations to measure lifetime expected credit losses of receivables. The maximum exposure to credit risk related to non-derivative financial assets is their carrying value.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7"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Our financial assets and liabilities measured at fair value on a recurring basis include derivatives and other financial instruments. We also disclose the fair value of other financial instruments not measured at fair value. The fair value of financial instruments reflects our best estimates of market value based on generally accepted valuation techniques or models and is supported by observable market prices and rates. When such values are not available, we use discounted cash flow analysis from applicable yield curves based on observable market inputs to estimate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4"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We categorize our financial instruments measured at fair value into one of three different levels depending on the observability of the inputs employed in the measurement.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1</w:t>
      </w:r>
    </w:p>
    <w:p>
      <w:pPr>
        <w:spacing w:after="0" w:line="1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Level 1 includes financial instruments measured at fair value based on unadjusted quoted prices for identical assets and liabilities in active markets that are accessible at the measurement date. An active market for a financial instrument is considered to be a market where transactions occur with sufficient frequency and volume to provide pricing information on an ongoing basis. Under the fair value hierarchy, cash and cash equivalents are classified as Level 1. Our Level 1 instruments consist primarily of exchange-traded derivatives used to mitigate the risk of crude oil price fluctuations and US and Canadian treasury bills. We also hold restricted long-term investments in exchange-traded funds and common shares in trusts in accordance with the regulatory requirements of the Canada Energy Regulator (CER) under the Land Matters Consultation Initiative (LMCI), to cover future pipeline decommissioning costs in the state of Minnesota and to satisfy retirement obligations as Wexpro properties are abandoned.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2</w:t>
      </w:r>
    </w:p>
    <w:p>
      <w:pPr>
        <w:spacing w:after="0" w:line="1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Level 2 includes financial instrument valuations determined using directly or indirectly observable inputs other than quoted prices included within Level 1. Financial instruments in this category are valued using models or other industry standard valuation techniques derived from observable market data. Such valuation techniques include inputs such as quoted forward prices, time value, volatility factors and broker quotes that can be observed or corroborated in the market for the entire duration of the financial instrument. Derivatives valued using Level 2 inputs include non-exchange-traded derivatives such as over-the-counter foreign exchange forward and cross-currency swap contracts, interest rate swaps, physical forward commodity contracts, as well as commodity swaps and options for which observable inputs can be obtained.</w:t>
      </w:r>
    </w:p>
    <w:p>
      <w:pPr>
        <w:spacing w:after="0" w:line="182"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We have also categorized the fair value of our long-term debt, investments in debt securities held by our captive insurance subsidiary, and restricted long-term investments in Canadian government bonds held in trust in accordance with the CER's regulatory requirements under the LMCI as Level 2. The fair value of our long-term debt is based on quoted market prices for instruments of similar credit risk and tenor. When possible, the fair value of our restricted long-term investments is based on quoted market prices for similar instruments and, if not available, based on broker quotes.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w:t>
      </w:r>
    </w:p>
    <w:p>
      <w:pPr>
        <w:spacing w:after="0" w:line="1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Level 3 includes derivative valuations based on inputs which are less observable, unavailable or where the observable data does not support a significant portion of the derivative's fair value. Generally, Level 3 derivatives are longer dated transactions, occur in less active markets, occur at locations where pricing information is not available or have no binding broker quote to support Level 2 classification. We have developed methodologies, benchmarked against industry standards, to determine fair value for these derivatives based on the extrapolation of observable future prices and rates. Derivatives valued using Level 3 inputs primarily include long-dated derivative power, NGL and natural gas contracts, basis swaps, commodity swaps, and power and energy swaps, physical forward commodity contracts, as well as options. We do not have any other financial instruments categorized in Level 3.</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242" w:lineRule="auto"/>
        <w:rPr>
          <w:sz w:val="20"/>
          <w:szCs w:val="20"/>
          <w:color w:val="auto"/>
        </w:rPr>
      </w:pPr>
      <w:r>
        <w:rPr>
          <w:rFonts w:ascii="Arial" w:cs="Arial" w:eastAsia="Arial" w:hAnsi="Arial"/>
          <w:sz w:val="18"/>
          <w:szCs w:val="18"/>
          <w:color w:val="auto"/>
        </w:rPr>
        <w:t>We use the most observable inputs available to estimate the fair value of our derivatives. When possible, we estimate the fair value of our derivatives based on quoted market prices. If quoted market prices are not available, we use estimates from third-party brokers. For non-exchange-traded derivatives classified in Levels 2 and 3, we use standard valuation techniques to calculate the estimated fair value. These methods include discounted cash flows for forwards and swaps and Black-Scholes-Merton pricing models for options. Depending on the type of derivative and nature of the underlying risk, we use observable market prices (interest, foreign exchange, commodity and share price) and volatility as primary inputs to these valuation techniques. Finally, we consider our own credit default swap spread, as well as the credit default swap spreads associated with our counterparties, in our estimation of fair value.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categorized our derivative assets and liabilities measured at fair value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Total Gross</w:t>
            </w:r>
          </w:p>
        </w:tc>
        <w:tc>
          <w:tcPr>
            <w:tcW w:w="0" w:type="dxa"/>
            <w:vAlign w:val="bottom"/>
          </w:tcPr>
          <w:p>
            <w:pPr>
              <w:spacing w:after="0"/>
              <w:rPr>
                <w:sz w:val="1"/>
                <w:szCs w:val="1"/>
                <w:color w:val="auto"/>
              </w:rPr>
            </w:pPr>
          </w:p>
        </w:tc>
      </w:tr>
      <w:tr>
        <w:trPr>
          <w:trHeight w:val="189"/>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March 31, 2026</w:t>
            </w:r>
          </w:p>
        </w:tc>
        <w:tc>
          <w:tcPr>
            <w:tcW w:w="100" w:type="dxa"/>
            <w:vAlign w:val="bottom"/>
          </w:tcPr>
          <w:p>
            <w:pPr>
              <w:spacing w:after="0"/>
              <w:rPr>
                <w:sz w:val="16"/>
                <w:szCs w:val="16"/>
                <w:color w:val="auto"/>
              </w:rPr>
            </w:pP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16"/>
                <w:szCs w:val="16"/>
                <w:color w:val="auto"/>
              </w:rPr>
            </w:pP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color w:val="auto"/>
              </w:rPr>
              <w:t>Level 2</w:t>
            </w:r>
          </w:p>
        </w:tc>
        <w:tc>
          <w:tcPr>
            <w:tcW w:w="1480" w:type="dxa"/>
            <w:vAlign w:val="bottom"/>
            <w:vMerge w:val="restart"/>
          </w:tcPr>
          <w:p>
            <w:pPr>
              <w:jc w:val="right"/>
              <w:ind w:right="170"/>
              <w:spacing w:after="0"/>
              <w:rPr>
                <w:sz w:val="20"/>
                <w:szCs w:val="20"/>
                <w:color w:val="auto"/>
              </w:rPr>
            </w:pPr>
            <w:r>
              <w:rPr>
                <w:rFonts w:ascii="Arial" w:cs="Arial" w:eastAsia="Arial" w:hAnsi="Arial"/>
                <w:sz w:val="18"/>
                <w:szCs w:val="18"/>
                <w:color w:val="auto"/>
              </w:rPr>
              <w:t>Level 3</w:t>
            </w:r>
          </w:p>
        </w:tc>
        <w:tc>
          <w:tcPr>
            <w:tcW w:w="1260" w:type="dxa"/>
            <w:vAlign w:val="bottom"/>
          </w:tcPr>
          <w:p>
            <w:pPr>
              <w:jc w:val="right"/>
              <w:ind w:right="50"/>
              <w:spacing w:after="0" w:line="189" w:lineRule="exact"/>
              <w:rPr>
                <w:sz w:val="20"/>
                <w:szCs w:val="20"/>
                <w:color w:val="auto"/>
              </w:rPr>
            </w:pPr>
            <w:r>
              <w:rPr>
                <w:rFonts w:ascii="Arial" w:cs="Arial" w:eastAsia="Arial" w:hAnsi="Arial"/>
                <w:sz w:val="18"/>
                <w:szCs w:val="18"/>
                <w:color w:val="auto"/>
              </w:rPr>
              <w:t>Derivative</w:t>
            </w:r>
          </w:p>
        </w:tc>
        <w:tc>
          <w:tcPr>
            <w:tcW w:w="0" w:type="dxa"/>
            <w:vAlign w:val="bottom"/>
          </w:tcPr>
          <w:p>
            <w:pPr>
              <w:spacing w:after="0"/>
              <w:rPr>
                <w:sz w:val="1"/>
                <w:szCs w:val="1"/>
                <w:color w:val="auto"/>
              </w:rPr>
            </w:pPr>
          </w:p>
        </w:tc>
      </w:tr>
      <w:tr>
        <w:trPr>
          <w:trHeight w:val="221"/>
        </w:trPr>
        <w:tc>
          <w:tcPr>
            <w:tcW w:w="5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Instruments</w:t>
            </w:r>
          </w:p>
        </w:tc>
        <w:tc>
          <w:tcPr>
            <w:tcW w:w="0" w:type="dxa"/>
            <w:vAlign w:val="bottom"/>
          </w:tcPr>
          <w:p>
            <w:pPr>
              <w:spacing w:after="0"/>
              <w:rPr>
                <w:sz w:val="1"/>
                <w:szCs w:val="1"/>
                <w:color w:val="auto"/>
              </w:rPr>
            </w:pPr>
          </w:p>
        </w:tc>
      </w:tr>
      <w:tr>
        <w:trPr>
          <w:trHeight w:val="115"/>
        </w:trPr>
        <w:tc>
          <w:tcPr>
            <w:tcW w:w="586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100" w:type="dxa"/>
            <w:vAlign w:val="bottom"/>
            <w:shd w:val="clear" w:color="auto" w:fill="D9D9D9"/>
          </w:tcPr>
          <w:p>
            <w:pPr>
              <w:spacing w:after="0"/>
              <w:rPr>
                <w:sz w:val="10"/>
                <w:szCs w:val="10"/>
                <w:color w:val="auto"/>
              </w:rPr>
            </w:pPr>
          </w:p>
        </w:tc>
        <w:tc>
          <w:tcPr>
            <w:tcW w:w="12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1220" w:type="dxa"/>
            <w:vAlign w:val="bottom"/>
            <w:shd w:val="clear" w:color="auto" w:fill="D9D9D9"/>
          </w:tcPr>
          <w:p>
            <w:pPr>
              <w:spacing w:after="0"/>
              <w:rPr>
                <w:sz w:val="10"/>
                <w:szCs w:val="10"/>
                <w:color w:val="auto"/>
              </w:rPr>
            </w:pPr>
          </w:p>
        </w:tc>
        <w:tc>
          <w:tcPr>
            <w:tcW w:w="1480" w:type="dxa"/>
            <w:vAlign w:val="bottom"/>
            <w:shd w:val="clear" w:color="auto" w:fill="D9D9D9"/>
          </w:tcPr>
          <w:p>
            <w:pPr>
              <w:spacing w:after="0"/>
              <w:rPr>
                <w:sz w:val="10"/>
                <w:szCs w:val="10"/>
                <w:color w:val="auto"/>
              </w:rPr>
            </w:pPr>
          </w:p>
        </w:tc>
        <w:tc>
          <w:tcPr>
            <w:tcW w:w="126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860" w:type="dxa"/>
            <w:vAlign w:val="bottom"/>
          </w:tcPr>
          <w:p>
            <w:pPr>
              <w:spacing w:after="0" w:line="183" w:lineRule="exact"/>
              <w:rPr>
                <w:sz w:val="20"/>
                <w:szCs w:val="20"/>
                <w:color w:val="auto"/>
              </w:rPr>
            </w:pPr>
            <w:r>
              <w:rPr>
                <w:rFonts w:ascii="Arial" w:cs="Arial" w:eastAsia="Arial" w:hAnsi="Arial"/>
                <w:sz w:val="18"/>
                <w:szCs w:val="18"/>
                <w:color w:val="auto"/>
              </w:rPr>
              <w:t>Financial assets</w:t>
            </w:r>
          </w:p>
        </w:tc>
        <w:tc>
          <w:tcPr>
            <w:tcW w:w="100" w:type="dxa"/>
            <w:vAlign w:val="bottom"/>
            <w:shd w:val="clear" w:color="auto" w:fill="D9D9D9"/>
          </w:tcPr>
          <w:p>
            <w:pPr>
              <w:spacing w:after="0"/>
              <w:rPr>
                <w:sz w:val="15"/>
                <w:szCs w:val="15"/>
                <w:color w:val="auto"/>
              </w:rPr>
            </w:pPr>
          </w:p>
        </w:tc>
        <w:tc>
          <w:tcPr>
            <w:tcW w:w="1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20" w:type="dxa"/>
            <w:vAlign w:val="bottom"/>
            <w:shd w:val="clear" w:color="auto" w:fill="D9D9D9"/>
          </w:tcPr>
          <w:p>
            <w:pPr>
              <w:spacing w:after="0"/>
              <w:rPr>
                <w:sz w:val="15"/>
                <w:szCs w:val="15"/>
                <w:color w:val="auto"/>
              </w:rPr>
            </w:pPr>
          </w:p>
        </w:tc>
        <w:tc>
          <w:tcPr>
            <w:tcW w:w="1480" w:type="dxa"/>
            <w:vAlign w:val="bottom"/>
            <w:shd w:val="clear" w:color="auto" w:fill="D9D9D9"/>
          </w:tcPr>
          <w:p>
            <w:pPr>
              <w:spacing w:after="0"/>
              <w:rPr>
                <w:sz w:val="15"/>
                <w:szCs w:val="15"/>
                <w:color w:val="auto"/>
              </w:rPr>
            </w:pPr>
          </w:p>
        </w:tc>
        <w:tc>
          <w:tcPr>
            <w:tcW w:w="126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60" w:type="dxa"/>
            <w:vAlign w:val="bottom"/>
          </w:tcPr>
          <w:p>
            <w:pPr>
              <w:ind w:left="80"/>
              <w:spacing w:after="0" w:line="189" w:lineRule="exact"/>
              <w:rPr>
                <w:sz w:val="20"/>
                <w:szCs w:val="20"/>
                <w:color w:val="auto"/>
              </w:rPr>
            </w:pPr>
            <w:r>
              <w:rPr>
                <w:rFonts w:ascii="Arial" w:cs="Arial" w:eastAsia="Arial" w:hAnsi="Arial"/>
                <w:sz w:val="18"/>
                <w:szCs w:val="18"/>
                <w:color w:val="auto"/>
              </w:rPr>
              <w:t>Current derivative assets</w:t>
            </w:r>
          </w:p>
        </w:tc>
        <w:tc>
          <w:tcPr>
            <w:tcW w:w="100" w:type="dxa"/>
            <w:vAlign w:val="bottom"/>
            <w:shd w:val="clear" w:color="auto" w:fill="D9D9D9"/>
          </w:tcPr>
          <w:p>
            <w:pPr>
              <w:spacing w:after="0"/>
              <w:rPr>
                <w:sz w:val="16"/>
                <w:szCs w:val="16"/>
                <w:color w:val="auto"/>
              </w:rPr>
            </w:pPr>
          </w:p>
        </w:tc>
        <w:tc>
          <w:tcPr>
            <w:tcW w:w="122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220" w:type="dxa"/>
            <w:vAlign w:val="bottom"/>
            <w:shd w:val="clear" w:color="auto" w:fill="D9D9D9"/>
          </w:tcPr>
          <w:p>
            <w:pPr>
              <w:spacing w:after="0"/>
              <w:rPr>
                <w:sz w:val="16"/>
                <w:szCs w:val="16"/>
                <w:color w:val="auto"/>
              </w:rPr>
            </w:pPr>
          </w:p>
        </w:tc>
        <w:tc>
          <w:tcPr>
            <w:tcW w:w="1480" w:type="dxa"/>
            <w:vAlign w:val="bottom"/>
            <w:shd w:val="clear" w:color="auto" w:fill="D9D9D9"/>
          </w:tcPr>
          <w:p>
            <w:pPr>
              <w:spacing w:after="0"/>
              <w:rPr>
                <w:sz w:val="16"/>
                <w:szCs w:val="16"/>
                <w:color w:val="auto"/>
              </w:rPr>
            </w:pPr>
          </w:p>
        </w:tc>
        <w:tc>
          <w:tcPr>
            <w:tcW w:w="126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ind w:left="160"/>
              <w:spacing w:after="0" w:line="189" w:lineRule="exact"/>
              <w:rPr>
                <w:sz w:val="20"/>
                <w:szCs w:val="20"/>
                <w:color w:val="auto"/>
              </w:rPr>
            </w:pPr>
            <w:r>
              <w:rPr>
                <w:rFonts w:ascii="Arial" w:cs="Arial" w:eastAsia="Arial" w:hAnsi="Arial"/>
                <w:sz w:val="18"/>
                <w:szCs w:val="18"/>
                <w:color w:val="auto"/>
              </w:rPr>
              <w:t>Foreign exchange contracts</w:t>
            </w:r>
          </w:p>
        </w:tc>
        <w:tc>
          <w:tcPr>
            <w:tcW w:w="100" w:type="dxa"/>
            <w:vAlign w:val="bottom"/>
            <w:shd w:val="clear" w:color="auto" w:fill="D9D9D9"/>
          </w:tcPr>
          <w:p>
            <w:pPr>
              <w:spacing w:after="0"/>
              <w:rPr>
                <w:sz w:val="16"/>
                <w:szCs w:val="16"/>
                <w:color w:val="auto"/>
              </w:rPr>
            </w:pPr>
          </w:p>
        </w:tc>
        <w:tc>
          <w:tcPr>
            <w:tcW w:w="122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9D9D9"/>
          </w:tcPr>
          <w:p>
            <w:pPr>
              <w:spacing w:after="0"/>
              <w:rPr>
                <w:sz w:val="16"/>
                <w:szCs w:val="16"/>
                <w:color w:val="auto"/>
              </w:rPr>
            </w:pPr>
          </w:p>
        </w:tc>
        <w:tc>
          <w:tcPr>
            <w:tcW w:w="122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30</w:t>
            </w:r>
          </w:p>
        </w:tc>
        <w:tc>
          <w:tcPr>
            <w:tcW w:w="1480" w:type="dxa"/>
            <w:vAlign w:val="bottom"/>
            <w:shd w:val="clear" w:color="auto" w:fill="D9D9D9"/>
          </w:tcPr>
          <w:p>
            <w:pPr>
              <w:jc w:val="right"/>
              <w:ind w:right="170"/>
              <w:spacing w:after="0" w:line="189"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D9D9D9"/>
          </w:tcPr>
          <w:p>
            <w:pPr>
              <w:jc w:val="right"/>
              <w:ind w:right="50"/>
              <w:spacing w:after="0" w:line="189"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189"/>
        </w:trPr>
        <w:tc>
          <w:tcPr>
            <w:tcW w:w="5860" w:type="dxa"/>
            <w:vAlign w:val="bottom"/>
          </w:tcPr>
          <w:p>
            <w:pPr>
              <w:ind w:left="160"/>
              <w:spacing w:after="0" w:line="189" w:lineRule="exact"/>
              <w:rPr>
                <w:sz w:val="20"/>
                <w:szCs w:val="20"/>
                <w:color w:val="auto"/>
              </w:rPr>
            </w:pPr>
            <w:r>
              <w:rPr>
                <w:rFonts w:ascii="Arial" w:cs="Arial" w:eastAsia="Arial" w:hAnsi="Arial"/>
                <w:sz w:val="18"/>
                <w:szCs w:val="18"/>
                <w:color w:val="auto"/>
              </w:rPr>
              <w:t>Interest rate contracts</w:t>
            </w:r>
          </w:p>
        </w:tc>
        <w:tc>
          <w:tcPr>
            <w:tcW w:w="100" w:type="dxa"/>
            <w:vAlign w:val="bottom"/>
            <w:shd w:val="clear" w:color="auto" w:fill="D9D9D9"/>
          </w:tcPr>
          <w:p>
            <w:pPr>
              <w:spacing w:after="0"/>
              <w:rPr>
                <w:sz w:val="16"/>
                <w:szCs w:val="16"/>
                <w:color w:val="auto"/>
              </w:rPr>
            </w:pPr>
          </w:p>
        </w:tc>
        <w:tc>
          <w:tcPr>
            <w:tcW w:w="122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9D9D9"/>
          </w:tcPr>
          <w:p>
            <w:pPr>
              <w:spacing w:after="0"/>
              <w:rPr>
                <w:sz w:val="16"/>
                <w:szCs w:val="16"/>
                <w:color w:val="auto"/>
              </w:rPr>
            </w:pPr>
          </w:p>
        </w:tc>
        <w:tc>
          <w:tcPr>
            <w:tcW w:w="122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71</w:t>
            </w:r>
          </w:p>
        </w:tc>
        <w:tc>
          <w:tcPr>
            <w:tcW w:w="1480" w:type="dxa"/>
            <w:vAlign w:val="bottom"/>
            <w:shd w:val="clear" w:color="auto" w:fill="D9D9D9"/>
          </w:tcPr>
          <w:p>
            <w:pPr>
              <w:jc w:val="right"/>
              <w:ind w:right="170"/>
              <w:spacing w:after="0" w:line="189"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D9D9D9"/>
          </w:tcPr>
          <w:p>
            <w:pPr>
              <w:jc w:val="right"/>
              <w:ind w:right="50"/>
              <w:spacing w:after="0" w:line="189" w:lineRule="exact"/>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21"/>
        </w:trPr>
        <w:tc>
          <w:tcPr>
            <w:tcW w:w="58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Commodity contracts</w:t>
            </w:r>
          </w:p>
        </w:tc>
        <w:tc>
          <w:tcPr>
            <w:tcW w:w="100" w:type="dxa"/>
            <w:vAlign w:val="bottom"/>
            <w:tcBorders>
              <w:bottom w:val="single" w:sz="8" w:color="auto"/>
            </w:tcBorders>
            <w:shd w:val="clear" w:color="auto" w:fill="D9D9D9"/>
          </w:tcPr>
          <w:p>
            <w:pPr>
              <w:spacing w:after="0"/>
              <w:rPr>
                <w:sz w:val="19"/>
                <w:szCs w:val="19"/>
                <w:color w:val="auto"/>
              </w:rPr>
            </w:pPr>
          </w:p>
        </w:tc>
        <w:tc>
          <w:tcPr>
            <w:tcW w:w="1220" w:type="dxa"/>
            <w:vAlign w:val="bottom"/>
            <w:tcBorders>
              <w:bottom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884</w:t>
            </w:r>
          </w:p>
        </w:tc>
        <w:tc>
          <w:tcPr>
            <w:tcW w:w="100" w:type="dxa"/>
            <w:vAlign w:val="bottom"/>
            <w:tcBorders>
              <w:bottom w:val="single" w:sz="8" w:color="auto"/>
            </w:tcBorders>
            <w:shd w:val="clear" w:color="auto" w:fill="D9D9D9"/>
          </w:tcPr>
          <w:p>
            <w:pPr>
              <w:spacing w:after="0"/>
              <w:rPr>
                <w:sz w:val="19"/>
                <w:szCs w:val="19"/>
                <w:color w:val="auto"/>
              </w:rPr>
            </w:pPr>
          </w:p>
        </w:tc>
        <w:tc>
          <w:tcPr>
            <w:tcW w:w="1220" w:type="dxa"/>
            <w:vAlign w:val="bottom"/>
            <w:tcBorders>
              <w:bottom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88</w:t>
            </w:r>
          </w:p>
        </w:tc>
        <w:tc>
          <w:tcPr>
            <w:tcW w:w="1480" w:type="dxa"/>
            <w:vAlign w:val="bottom"/>
            <w:tcBorders>
              <w:bottom w:val="single" w:sz="8" w:color="auto"/>
            </w:tcBorders>
            <w:shd w:val="clear" w:color="auto" w:fill="D9D9D9"/>
          </w:tcPr>
          <w:p>
            <w:pPr>
              <w:jc w:val="right"/>
              <w:ind w:right="170"/>
              <w:spacing w:after="0"/>
              <w:rPr>
                <w:sz w:val="20"/>
                <w:szCs w:val="20"/>
                <w:color w:val="auto"/>
              </w:rPr>
            </w:pPr>
            <w:r>
              <w:rPr>
                <w:rFonts w:ascii="Arial" w:cs="Arial" w:eastAsia="Arial" w:hAnsi="Arial"/>
                <w:sz w:val="18"/>
                <w:szCs w:val="18"/>
                <w:b w:val="1"/>
                <w:bCs w:val="1"/>
                <w:color w:val="auto"/>
              </w:rPr>
              <w:t>525</w:t>
            </w:r>
          </w:p>
        </w:tc>
        <w:tc>
          <w:tcPr>
            <w:tcW w:w="1260" w:type="dxa"/>
            <w:vAlign w:val="bottom"/>
            <w:tcBorders>
              <w:bottom w:val="single" w:sz="8" w:color="auto"/>
            </w:tcBorders>
            <w:shd w:val="clear" w:color="auto" w:fill="D9D9D9"/>
          </w:tcPr>
          <w:p>
            <w:pPr>
              <w:jc w:val="right"/>
              <w:ind w:right="50"/>
              <w:spacing w:after="0"/>
              <w:rPr>
                <w:sz w:val="20"/>
                <w:szCs w:val="20"/>
                <w:color w:val="auto"/>
              </w:rPr>
            </w:pPr>
            <w:r>
              <w:rPr>
                <w:rFonts w:ascii="Arial" w:cs="Arial" w:eastAsia="Arial" w:hAnsi="Arial"/>
                <w:sz w:val="18"/>
                <w:szCs w:val="18"/>
                <w:b w:val="1"/>
                <w:bCs w:val="1"/>
                <w:color w:val="auto"/>
              </w:rPr>
              <w:t>1,497</w:t>
            </w:r>
          </w:p>
        </w:tc>
        <w:tc>
          <w:tcPr>
            <w:tcW w:w="0" w:type="dxa"/>
            <w:vAlign w:val="bottom"/>
          </w:tcPr>
          <w:p>
            <w:pPr>
              <w:spacing w:after="0"/>
              <w:rPr>
                <w:sz w:val="1"/>
                <w:szCs w:val="1"/>
                <w:color w:val="auto"/>
              </w:rPr>
            </w:pPr>
          </w:p>
        </w:tc>
      </w:tr>
      <w:tr>
        <w:trPr>
          <w:trHeight w:val="183"/>
        </w:trPr>
        <w:tc>
          <w:tcPr>
            <w:tcW w:w="5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shd w:val="clear" w:color="auto" w:fill="D9D9D9"/>
          </w:tcPr>
          <w:p>
            <w:pPr>
              <w:spacing w:after="0"/>
              <w:rPr>
                <w:sz w:val="15"/>
                <w:szCs w:val="15"/>
                <w:color w:val="auto"/>
              </w:rPr>
            </w:pPr>
          </w:p>
        </w:tc>
        <w:tc>
          <w:tcPr>
            <w:tcW w:w="1220" w:type="dxa"/>
            <w:vAlign w:val="bottom"/>
            <w:tcBorders>
              <w:bottom w:val="single" w:sz="8" w:color="auto"/>
            </w:tcBorders>
            <w:shd w:val="clear" w:color="auto" w:fill="D9D9D9"/>
          </w:tcPr>
          <w:p>
            <w:pPr>
              <w:jc w:val="right"/>
              <w:ind w:right="30"/>
              <w:spacing w:after="0" w:line="182" w:lineRule="exact"/>
              <w:rPr>
                <w:sz w:val="20"/>
                <w:szCs w:val="20"/>
                <w:color w:val="auto"/>
              </w:rPr>
            </w:pPr>
            <w:r>
              <w:rPr>
                <w:rFonts w:ascii="Arial" w:cs="Arial" w:eastAsia="Arial" w:hAnsi="Arial"/>
                <w:sz w:val="18"/>
                <w:szCs w:val="18"/>
                <w:b w:val="1"/>
                <w:bCs w:val="1"/>
                <w:color w:val="auto"/>
              </w:rPr>
              <w:t>884</w:t>
            </w:r>
          </w:p>
        </w:tc>
        <w:tc>
          <w:tcPr>
            <w:tcW w:w="100" w:type="dxa"/>
            <w:vAlign w:val="bottom"/>
            <w:tcBorders>
              <w:bottom w:val="single" w:sz="8" w:color="auto"/>
            </w:tcBorders>
            <w:shd w:val="clear" w:color="auto" w:fill="D9D9D9"/>
          </w:tcPr>
          <w:p>
            <w:pPr>
              <w:spacing w:after="0"/>
              <w:rPr>
                <w:sz w:val="15"/>
                <w:szCs w:val="15"/>
                <w:color w:val="auto"/>
              </w:rPr>
            </w:pPr>
          </w:p>
        </w:tc>
        <w:tc>
          <w:tcPr>
            <w:tcW w:w="1220" w:type="dxa"/>
            <w:vAlign w:val="bottom"/>
            <w:tcBorders>
              <w:bottom w:val="single" w:sz="8" w:color="auto"/>
            </w:tcBorders>
            <w:shd w:val="clear" w:color="auto" w:fill="D9D9D9"/>
          </w:tcPr>
          <w:p>
            <w:pPr>
              <w:jc w:val="right"/>
              <w:ind w:right="30"/>
              <w:spacing w:after="0" w:line="182" w:lineRule="exact"/>
              <w:rPr>
                <w:sz w:val="20"/>
                <w:szCs w:val="20"/>
                <w:color w:val="auto"/>
              </w:rPr>
            </w:pPr>
            <w:r>
              <w:rPr>
                <w:rFonts w:ascii="Arial" w:cs="Arial" w:eastAsia="Arial" w:hAnsi="Arial"/>
                <w:sz w:val="18"/>
                <w:szCs w:val="18"/>
                <w:b w:val="1"/>
                <w:bCs w:val="1"/>
                <w:color w:val="auto"/>
              </w:rPr>
              <w:t>189</w:t>
            </w:r>
          </w:p>
        </w:tc>
        <w:tc>
          <w:tcPr>
            <w:tcW w:w="1480" w:type="dxa"/>
            <w:vAlign w:val="bottom"/>
            <w:tcBorders>
              <w:bottom w:val="single" w:sz="8" w:color="auto"/>
            </w:tcBorders>
            <w:shd w:val="clear" w:color="auto" w:fill="D9D9D9"/>
          </w:tcPr>
          <w:p>
            <w:pPr>
              <w:jc w:val="right"/>
              <w:ind w:right="170"/>
              <w:spacing w:after="0" w:line="182" w:lineRule="exact"/>
              <w:rPr>
                <w:sz w:val="20"/>
                <w:szCs w:val="20"/>
                <w:color w:val="auto"/>
              </w:rPr>
            </w:pPr>
            <w:r>
              <w:rPr>
                <w:rFonts w:ascii="Arial" w:cs="Arial" w:eastAsia="Arial" w:hAnsi="Arial"/>
                <w:sz w:val="18"/>
                <w:szCs w:val="18"/>
                <w:b w:val="1"/>
                <w:bCs w:val="1"/>
                <w:color w:val="auto"/>
              </w:rPr>
              <w:t>525</w:t>
            </w:r>
          </w:p>
        </w:tc>
        <w:tc>
          <w:tcPr>
            <w:tcW w:w="1260" w:type="dxa"/>
            <w:vAlign w:val="bottom"/>
            <w:tcBorders>
              <w:bottom w:val="single" w:sz="8" w:color="auto"/>
            </w:tcBorders>
            <w:shd w:val="clear" w:color="auto" w:fill="D9D9D9"/>
          </w:tcPr>
          <w:p>
            <w:pPr>
              <w:jc w:val="right"/>
              <w:ind w:right="50"/>
              <w:spacing w:after="0" w:line="182" w:lineRule="exact"/>
              <w:rPr>
                <w:sz w:val="20"/>
                <w:szCs w:val="20"/>
                <w:color w:val="auto"/>
              </w:rPr>
            </w:pPr>
            <w:r>
              <w:rPr>
                <w:rFonts w:ascii="Arial" w:cs="Arial" w:eastAsia="Arial" w:hAnsi="Arial"/>
                <w:sz w:val="18"/>
                <w:szCs w:val="18"/>
                <w:b w:val="1"/>
                <w:bCs w:val="1"/>
                <w:color w:val="auto"/>
              </w:rPr>
              <w:t>1,598</w:t>
            </w:r>
          </w:p>
        </w:tc>
        <w:tc>
          <w:tcPr>
            <w:tcW w:w="0" w:type="dxa"/>
            <w:vAlign w:val="bottom"/>
          </w:tcPr>
          <w:p>
            <w:pPr>
              <w:spacing w:after="0"/>
              <w:rPr>
                <w:sz w:val="1"/>
                <w:szCs w:val="1"/>
                <w:color w:val="auto"/>
              </w:rPr>
            </w:pPr>
          </w:p>
        </w:tc>
      </w:tr>
      <w:tr>
        <w:trPr>
          <w:trHeight w:val="150"/>
        </w:trPr>
        <w:tc>
          <w:tcPr>
            <w:tcW w:w="5860" w:type="dxa"/>
            <w:vAlign w:val="bottom"/>
          </w:tcPr>
          <w:p>
            <w:pPr>
              <w:ind w:left="80"/>
              <w:spacing w:after="0" w:line="150" w:lineRule="exact"/>
              <w:rPr>
                <w:sz w:val="20"/>
                <w:szCs w:val="20"/>
                <w:color w:val="auto"/>
              </w:rPr>
            </w:pPr>
            <w:r>
              <w:rPr>
                <w:rFonts w:ascii="Arial" w:cs="Arial" w:eastAsia="Arial" w:hAnsi="Arial"/>
                <w:sz w:val="17"/>
                <w:szCs w:val="17"/>
                <w:color w:val="auto"/>
              </w:rPr>
              <w:t>Long-term derivative assets</w:t>
            </w:r>
          </w:p>
        </w:tc>
        <w:tc>
          <w:tcPr>
            <w:tcW w:w="100" w:type="dxa"/>
            <w:vAlign w:val="bottom"/>
            <w:shd w:val="clear" w:color="auto" w:fill="D9D9D9"/>
          </w:tcPr>
          <w:p>
            <w:pPr>
              <w:spacing w:after="0"/>
              <w:rPr>
                <w:sz w:val="13"/>
                <w:szCs w:val="13"/>
                <w:color w:val="auto"/>
              </w:rPr>
            </w:pPr>
          </w:p>
        </w:tc>
        <w:tc>
          <w:tcPr>
            <w:tcW w:w="122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220" w:type="dxa"/>
            <w:vAlign w:val="bottom"/>
            <w:shd w:val="clear" w:color="auto" w:fill="D9D9D9"/>
          </w:tcPr>
          <w:p>
            <w:pPr>
              <w:spacing w:after="0"/>
              <w:rPr>
                <w:sz w:val="13"/>
                <w:szCs w:val="13"/>
                <w:color w:val="auto"/>
              </w:rPr>
            </w:pPr>
          </w:p>
        </w:tc>
        <w:tc>
          <w:tcPr>
            <w:tcW w:w="1480" w:type="dxa"/>
            <w:vAlign w:val="bottom"/>
            <w:shd w:val="clear" w:color="auto" w:fill="D9D9D9"/>
          </w:tcPr>
          <w:p>
            <w:pPr>
              <w:spacing w:after="0"/>
              <w:rPr>
                <w:sz w:val="13"/>
                <w:szCs w:val="13"/>
                <w:color w:val="auto"/>
              </w:rPr>
            </w:pPr>
          </w:p>
        </w:tc>
        <w:tc>
          <w:tcPr>
            <w:tcW w:w="126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60" w:type="dxa"/>
            <w:vAlign w:val="bottom"/>
          </w:tcPr>
          <w:p>
            <w:pPr>
              <w:ind w:left="160"/>
              <w:spacing w:after="0" w:line="189" w:lineRule="exact"/>
              <w:rPr>
                <w:sz w:val="20"/>
                <w:szCs w:val="20"/>
                <w:color w:val="auto"/>
              </w:rPr>
            </w:pPr>
            <w:r>
              <w:rPr>
                <w:rFonts w:ascii="Arial" w:cs="Arial" w:eastAsia="Arial" w:hAnsi="Arial"/>
                <w:sz w:val="18"/>
                <w:szCs w:val="18"/>
                <w:color w:val="auto"/>
              </w:rPr>
              <w:t>Foreign exchange contracts</w:t>
            </w:r>
          </w:p>
        </w:tc>
        <w:tc>
          <w:tcPr>
            <w:tcW w:w="100" w:type="dxa"/>
            <w:vAlign w:val="bottom"/>
            <w:shd w:val="clear" w:color="auto" w:fill="D9D9D9"/>
          </w:tcPr>
          <w:p>
            <w:pPr>
              <w:spacing w:after="0"/>
              <w:rPr>
                <w:sz w:val="16"/>
                <w:szCs w:val="16"/>
                <w:color w:val="auto"/>
              </w:rPr>
            </w:pPr>
          </w:p>
        </w:tc>
        <w:tc>
          <w:tcPr>
            <w:tcW w:w="122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33</w:t>
            </w:r>
          </w:p>
        </w:tc>
        <w:tc>
          <w:tcPr>
            <w:tcW w:w="1480" w:type="dxa"/>
            <w:vAlign w:val="bottom"/>
            <w:shd w:val="clear" w:color="auto" w:fill="D9D9D9"/>
          </w:tcPr>
          <w:p>
            <w:pPr>
              <w:jc w:val="right"/>
              <w:ind w:right="170"/>
              <w:spacing w:after="0" w:line="189"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D9D9D9"/>
          </w:tcPr>
          <w:p>
            <w:pPr>
              <w:jc w:val="right"/>
              <w:ind w:right="50"/>
              <w:spacing w:after="0" w:line="189" w:lineRule="exact"/>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189"/>
        </w:trPr>
        <w:tc>
          <w:tcPr>
            <w:tcW w:w="5860" w:type="dxa"/>
            <w:vAlign w:val="bottom"/>
          </w:tcPr>
          <w:p>
            <w:pPr>
              <w:ind w:left="160"/>
              <w:spacing w:after="0" w:line="189" w:lineRule="exact"/>
              <w:rPr>
                <w:sz w:val="20"/>
                <w:szCs w:val="20"/>
                <w:color w:val="auto"/>
              </w:rPr>
            </w:pPr>
            <w:r>
              <w:rPr>
                <w:rFonts w:ascii="Arial" w:cs="Arial" w:eastAsia="Arial" w:hAnsi="Arial"/>
                <w:sz w:val="18"/>
                <w:szCs w:val="18"/>
                <w:color w:val="auto"/>
              </w:rPr>
              <w:t>Interest rate contracts</w:t>
            </w:r>
          </w:p>
        </w:tc>
        <w:tc>
          <w:tcPr>
            <w:tcW w:w="100" w:type="dxa"/>
            <w:vAlign w:val="bottom"/>
            <w:shd w:val="clear" w:color="auto" w:fill="D9D9D9"/>
          </w:tcPr>
          <w:p>
            <w:pPr>
              <w:spacing w:after="0"/>
              <w:rPr>
                <w:sz w:val="16"/>
                <w:szCs w:val="16"/>
                <w:color w:val="auto"/>
              </w:rPr>
            </w:pPr>
          </w:p>
        </w:tc>
        <w:tc>
          <w:tcPr>
            <w:tcW w:w="122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145</w:t>
            </w:r>
          </w:p>
        </w:tc>
        <w:tc>
          <w:tcPr>
            <w:tcW w:w="1480" w:type="dxa"/>
            <w:vAlign w:val="bottom"/>
            <w:shd w:val="clear" w:color="auto" w:fill="D9D9D9"/>
          </w:tcPr>
          <w:p>
            <w:pPr>
              <w:jc w:val="right"/>
              <w:ind w:right="170"/>
              <w:spacing w:after="0" w:line="189"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D9D9D9"/>
          </w:tcPr>
          <w:p>
            <w:pPr>
              <w:jc w:val="right"/>
              <w:ind w:right="50"/>
              <w:spacing w:after="0" w:line="189" w:lineRule="exact"/>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r>
        <w:trPr>
          <w:trHeight w:val="221"/>
        </w:trPr>
        <w:tc>
          <w:tcPr>
            <w:tcW w:w="58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Commodity contracts</w:t>
            </w:r>
          </w:p>
        </w:tc>
        <w:tc>
          <w:tcPr>
            <w:tcW w:w="100" w:type="dxa"/>
            <w:vAlign w:val="bottom"/>
            <w:tcBorders>
              <w:bottom w:val="single" w:sz="8" w:color="auto"/>
            </w:tcBorders>
            <w:shd w:val="clear" w:color="auto" w:fill="D9D9D9"/>
          </w:tcPr>
          <w:p>
            <w:pPr>
              <w:spacing w:after="0"/>
              <w:rPr>
                <w:sz w:val="19"/>
                <w:szCs w:val="19"/>
                <w:color w:val="auto"/>
              </w:rPr>
            </w:pPr>
          </w:p>
        </w:tc>
        <w:tc>
          <w:tcPr>
            <w:tcW w:w="1220" w:type="dxa"/>
            <w:vAlign w:val="bottom"/>
            <w:tcBorders>
              <w:bottom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4</w:t>
            </w:r>
          </w:p>
        </w:tc>
        <w:tc>
          <w:tcPr>
            <w:tcW w:w="1320" w:type="dxa"/>
            <w:vAlign w:val="bottom"/>
            <w:tcBorders>
              <w:bottom w:val="single" w:sz="8" w:color="auto"/>
            </w:tcBorders>
            <w:gridSpan w:val="2"/>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5</w:t>
            </w:r>
          </w:p>
        </w:tc>
        <w:tc>
          <w:tcPr>
            <w:tcW w:w="1480" w:type="dxa"/>
            <w:vAlign w:val="bottom"/>
            <w:tcBorders>
              <w:bottom w:val="single" w:sz="8" w:color="auto"/>
            </w:tcBorders>
            <w:shd w:val="clear" w:color="auto" w:fill="D9D9D9"/>
          </w:tcPr>
          <w:p>
            <w:pPr>
              <w:jc w:val="right"/>
              <w:ind w:right="170"/>
              <w:spacing w:after="0"/>
              <w:rPr>
                <w:sz w:val="20"/>
                <w:szCs w:val="20"/>
                <w:color w:val="auto"/>
              </w:rPr>
            </w:pPr>
            <w:r>
              <w:rPr>
                <w:rFonts w:ascii="Arial" w:cs="Arial" w:eastAsia="Arial" w:hAnsi="Arial"/>
                <w:sz w:val="18"/>
                <w:szCs w:val="18"/>
                <w:b w:val="1"/>
                <w:bCs w:val="1"/>
                <w:color w:val="auto"/>
              </w:rPr>
              <w:t>67</w:t>
            </w:r>
          </w:p>
        </w:tc>
        <w:tc>
          <w:tcPr>
            <w:tcW w:w="1260" w:type="dxa"/>
            <w:vAlign w:val="bottom"/>
            <w:tcBorders>
              <w:bottom w:val="single" w:sz="8" w:color="auto"/>
            </w:tcBorders>
            <w:shd w:val="clear" w:color="auto" w:fill="D9D9D9"/>
          </w:tcPr>
          <w:p>
            <w:pPr>
              <w:jc w:val="right"/>
              <w:ind w:right="50"/>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183"/>
        </w:trPr>
        <w:tc>
          <w:tcPr>
            <w:tcW w:w="5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shd w:val="clear" w:color="auto" w:fill="D9D9D9"/>
          </w:tcPr>
          <w:p>
            <w:pPr>
              <w:spacing w:after="0"/>
              <w:rPr>
                <w:sz w:val="15"/>
                <w:szCs w:val="15"/>
                <w:color w:val="auto"/>
              </w:rPr>
            </w:pPr>
          </w:p>
        </w:tc>
        <w:tc>
          <w:tcPr>
            <w:tcW w:w="1220" w:type="dxa"/>
            <w:vAlign w:val="bottom"/>
            <w:tcBorders>
              <w:bottom w:val="single" w:sz="8" w:color="auto"/>
            </w:tcBorders>
            <w:shd w:val="clear" w:color="auto" w:fill="D9D9D9"/>
          </w:tcPr>
          <w:p>
            <w:pPr>
              <w:jc w:val="right"/>
              <w:ind w:right="30"/>
              <w:spacing w:after="0" w:line="182" w:lineRule="exact"/>
              <w:rPr>
                <w:sz w:val="20"/>
                <w:szCs w:val="20"/>
                <w:color w:val="auto"/>
              </w:rPr>
            </w:pPr>
            <w:r>
              <w:rPr>
                <w:rFonts w:ascii="Arial" w:cs="Arial" w:eastAsia="Arial" w:hAnsi="Arial"/>
                <w:sz w:val="18"/>
                <w:szCs w:val="18"/>
                <w:b w:val="1"/>
                <w:bCs w:val="1"/>
                <w:color w:val="auto"/>
              </w:rPr>
              <w:t>4</w:t>
            </w:r>
          </w:p>
        </w:tc>
        <w:tc>
          <w:tcPr>
            <w:tcW w:w="1320" w:type="dxa"/>
            <w:vAlign w:val="bottom"/>
            <w:tcBorders>
              <w:bottom w:val="single" w:sz="8" w:color="auto"/>
            </w:tcBorders>
            <w:gridSpan w:val="2"/>
            <w:shd w:val="clear" w:color="auto" w:fill="D9D9D9"/>
          </w:tcPr>
          <w:p>
            <w:pPr>
              <w:jc w:val="right"/>
              <w:ind w:right="30"/>
              <w:spacing w:after="0" w:line="182" w:lineRule="exact"/>
              <w:rPr>
                <w:sz w:val="20"/>
                <w:szCs w:val="20"/>
                <w:color w:val="auto"/>
              </w:rPr>
            </w:pPr>
            <w:r>
              <w:rPr>
                <w:rFonts w:ascii="Arial" w:cs="Arial" w:eastAsia="Arial" w:hAnsi="Arial"/>
                <w:sz w:val="18"/>
                <w:szCs w:val="18"/>
                <w:b w:val="1"/>
                <w:bCs w:val="1"/>
                <w:color w:val="auto"/>
              </w:rPr>
              <w:t>183</w:t>
            </w:r>
          </w:p>
        </w:tc>
        <w:tc>
          <w:tcPr>
            <w:tcW w:w="1480" w:type="dxa"/>
            <w:vAlign w:val="bottom"/>
            <w:tcBorders>
              <w:bottom w:val="single" w:sz="8" w:color="auto"/>
            </w:tcBorders>
            <w:shd w:val="clear" w:color="auto" w:fill="D9D9D9"/>
          </w:tcPr>
          <w:p>
            <w:pPr>
              <w:jc w:val="right"/>
              <w:ind w:right="170"/>
              <w:spacing w:after="0" w:line="182" w:lineRule="exact"/>
              <w:rPr>
                <w:sz w:val="20"/>
                <w:szCs w:val="20"/>
                <w:color w:val="auto"/>
              </w:rPr>
            </w:pPr>
            <w:r>
              <w:rPr>
                <w:rFonts w:ascii="Arial" w:cs="Arial" w:eastAsia="Arial" w:hAnsi="Arial"/>
                <w:sz w:val="18"/>
                <w:szCs w:val="18"/>
                <w:b w:val="1"/>
                <w:bCs w:val="1"/>
                <w:color w:val="auto"/>
              </w:rPr>
              <w:t>67</w:t>
            </w:r>
          </w:p>
        </w:tc>
        <w:tc>
          <w:tcPr>
            <w:tcW w:w="1260" w:type="dxa"/>
            <w:vAlign w:val="bottom"/>
            <w:tcBorders>
              <w:bottom w:val="single" w:sz="8" w:color="auto"/>
            </w:tcBorders>
            <w:shd w:val="clear" w:color="auto" w:fill="D9D9D9"/>
          </w:tcPr>
          <w:p>
            <w:pPr>
              <w:jc w:val="right"/>
              <w:ind w:right="50"/>
              <w:spacing w:after="0" w:line="182" w:lineRule="exact"/>
              <w:rPr>
                <w:sz w:val="20"/>
                <w:szCs w:val="20"/>
                <w:color w:val="auto"/>
              </w:rPr>
            </w:pPr>
            <w:r>
              <w:rPr>
                <w:rFonts w:ascii="Arial" w:cs="Arial" w:eastAsia="Arial" w:hAnsi="Arial"/>
                <w:sz w:val="18"/>
                <w:szCs w:val="18"/>
                <w:b w:val="1"/>
                <w:bCs w:val="1"/>
                <w:color w:val="auto"/>
              </w:rPr>
              <w:t>254</w:t>
            </w:r>
          </w:p>
        </w:tc>
        <w:tc>
          <w:tcPr>
            <w:tcW w:w="0" w:type="dxa"/>
            <w:vAlign w:val="bottom"/>
          </w:tcPr>
          <w:p>
            <w:pPr>
              <w:spacing w:after="0"/>
              <w:rPr>
                <w:sz w:val="1"/>
                <w:szCs w:val="1"/>
                <w:color w:val="auto"/>
              </w:rPr>
            </w:pPr>
          </w:p>
        </w:tc>
      </w:tr>
      <w:tr>
        <w:trPr>
          <w:trHeight w:val="150"/>
        </w:trPr>
        <w:tc>
          <w:tcPr>
            <w:tcW w:w="5860" w:type="dxa"/>
            <w:vAlign w:val="bottom"/>
          </w:tcPr>
          <w:p>
            <w:pPr>
              <w:spacing w:after="0" w:line="150" w:lineRule="exact"/>
              <w:rPr>
                <w:sz w:val="20"/>
                <w:szCs w:val="20"/>
                <w:color w:val="auto"/>
              </w:rPr>
            </w:pPr>
            <w:r>
              <w:rPr>
                <w:rFonts w:ascii="Arial" w:cs="Arial" w:eastAsia="Arial" w:hAnsi="Arial"/>
                <w:sz w:val="17"/>
                <w:szCs w:val="17"/>
                <w:color w:val="auto"/>
              </w:rPr>
              <w:t>Financial liabilities</w:t>
            </w:r>
          </w:p>
        </w:tc>
        <w:tc>
          <w:tcPr>
            <w:tcW w:w="100" w:type="dxa"/>
            <w:vAlign w:val="bottom"/>
            <w:shd w:val="clear" w:color="auto" w:fill="D9D9D9"/>
          </w:tcPr>
          <w:p>
            <w:pPr>
              <w:spacing w:after="0"/>
              <w:rPr>
                <w:sz w:val="13"/>
                <w:szCs w:val="13"/>
                <w:color w:val="auto"/>
              </w:rPr>
            </w:pPr>
          </w:p>
        </w:tc>
        <w:tc>
          <w:tcPr>
            <w:tcW w:w="122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220" w:type="dxa"/>
            <w:vAlign w:val="bottom"/>
            <w:shd w:val="clear" w:color="auto" w:fill="D9D9D9"/>
          </w:tcPr>
          <w:p>
            <w:pPr>
              <w:spacing w:after="0"/>
              <w:rPr>
                <w:sz w:val="13"/>
                <w:szCs w:val="13"/>
                <w:color w:val="auto"/>
              </w:rPr>
            </w:pPr>
          </w:p>
        </w:tc>
        <w:tc>
          <w:tcPr>
            <w:tcW w:w="1480" w:type="dxa"/>
            <w:vAlign w:val="bottom"/>
            <w:shd w:val="clear" w:color="auto" w:fill="D9D9D9"/>
          </w:tcPr>
          <w:p>
            <w:pPr>
              <w:spacing w:after="0"/>
              <w:rPr>
                <w:sz w:val="13"/>
                <w:szCs w:val="13"/>
                <w:color w:val="auto"/>
              </w:rPr>
            </w:pPr>
          </w:p>
        </w:tc>
        <w:tc>
          <w:tcPr>
            <w:tcW w:w="126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60" w:type="dxa"/>
            <w:vAlign w:val="bottom"/>
          </w:tcPr>
          <w:p>
            <w:pPr>
              <w:ind w:left="80"/>
              <w:spacing w:after="0" w:line="189" w:lineRule="exact"/>
              <w:rPr>
                <w:sz w:val="20"/>
                <w:szCs w:val="20"/>
                <w:color w:val="auto"/>
              </w:rPr>
            </w:pPr>
            <w:r>
              <w:rPr>
                <w:rFonts w:ascii="Arial" w:cs="Arial" w:eastAsia="Arial" w:hAnsi="Arial"/>
                <w:sz w:val="18"/>
                <w:szCs w:val="18"/>
                <w:color w:val="auto"/>
              </w:rPr>
              <w:t>Current derivative liabilities</w:t>
            </w:r>
          </w:p>
        </w:tc>
        <w:tc>
          <w:tcPr>
            <w:tcW w:w="100" w:type="dxa"/>
            <w:vAlign w:val="bottom"/>
            <w:shd w:val="clear" w:color="auto" w:fill="D9D9D9"/>
          </w:tcPr>
          <w:p>
            <w:pPr>
              <w:spacing w:after="0"/>
              <w:rPr>
                <w:sz w:val="16"/>
                <w:szCs w:val="16"/>
                <w:color w:val="auto"/>
              </w:rPr>
            </w:pPr>
          </w:p>
        </w:tc>
        <w:tc>
          <w:tcPr>
            <w:tcW w:w="122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220" w:type="dxa"/>
            <w:vAlign w:val="bottom"/>
            <w:shd w:val="clear" w:color="auto" w:fill="D9D9D9"/>
          </w:tcPr>
          <w:p>
            <w:pPr>
              <w:spacing w:after="0"/>
              <w:rPr>
                <w:sz w:val="16"/>
                <w:szCs w:val="16"/>
                <w:color w:val="auto"/>
              </w:rPr>
            </w:pPr>
          </w:p>
        </w:tc>
        <w:tc>
          <w:tcPr>
            <w:tcW w:w="1480" w:type="dxa"/>
            <w:vAlign w:val="bottom"/>
            <w:shd w:val="clear" w:color="auto" w:fill="D9D9D9"/>
          </w:tcPr>
          <w:p>
            <w:pPr>
              <w:spacing w:after="0"/>
              <w:rPr>
                <w:sz w:val="16"/>
                <w:szCs w:val="16"/>
                <w:color w:val="auto"/>
              </w:rPr>
            </w:pPr>
          </w:p>
        </w:tc>
        <w:tc>
          <w:tcPr>
            <w:tcW w:w="126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ind w:left="160"/>
              <w:spacing w:after="0" w:line="189" w:lineRule="exact"/>
              <w:rPr>
                <w:sz w:val="20"/>
                <w:szCs w:val="20"/>
                <w:color w:val="auto"/>
              </w:rPr>
            </w:pPr>
            <w:r>
              <w:rPr>
                <w:rFonts w:ascii="Arial" w:cs="Arial" w:eastAsia="Arial" w:hAnsi="Arial"/>
                <w:sz w:val="18"/>
                <w:szCs w:val="18"/>
                <w:color w:val="auto"/>
              </w:rPr>
              <w:t>Foreign exchange contracts</w:t>
            </w:r>
          </w:p>
        </w:tc>
        <w:tc>
          <w:tcPr>
            <w:tcW w:w="100" w:type="dxa"/>
            <w:vAlign w:val="bottom"/>
            <w:shd w:val="clear" w:color="auto" w:fill="D9D9D9"/>
          </w:tcPr>
          <w:p>
            <w:pPr>
              <w:spacing w:after="0"/>
              <w:rPr>
                <w:sz w:val="16"/>
                <w:szCs w:val="16"/>
                <w:color w:val="auto"/>
              </w:rPr>
            </w:pPr>
          </w:p>
        </w:tc>
        <w:tc>
          <w:tcPr>
            <w:tcW w:w="122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9D9D9"/>
          </w:tcPr>
          <w:p>
            <w:pPr>
              <w:spacing w:after="0"/>
              <w:rPr>
                <w:sz w:val="16"/>
                <w:szCs w:val="16"/>
                <w:color w:val="auto"/>
              </w:rPr>
            </w:pPr>
          </w:p>
        </w:tc>
        <w:tc>
          <w:tcPr>
            <w:tcW w:w="1220" w:type="dxa"/>
            <w:vAlign w:val="bottom"/>
            <w:shd w:val="clear" w:color="auto" w:fill="D9D9D9"/>
          </w:tcPr>
          <w:p>
            <w:pPr>
              <w:jc w:val="right"/>
              <w:spacing w:after="0" w:line="189" w:lineRule="exact"/>
              <w:rPr>
                <w:sz w:val="20"/>
                <w:szCs w:val="20"/>
                <w:color w:val="auto"/>
              </w:rPr>
            </w:pPr>
            <w:r>
              <w:rPr>
                <w:rFonts w:ascii="Arial" w:cs="Arial" w:eastAsia="Arial" w:hAnsi="Arial"/>
                <w:sz w:val="18"/>
                <w:szCs w:val="18"/>
                <w:b w:val="1"/>
                <w:bCs w:val="1"/>
                <w:color w:val="auto"/>
              </w:rPr>
              <w:t>(508)</w:t>
            </w:r>
          </w:p>
        </w:tc>
        <w:tc>
          <w:tcPr>
            <w:tcW w:w="1480" w:type="dxa"/>
            <w:vAlign w:val="bottom"/>
            <w:shd w:val="clear" w:color="auto" w:fill="D9D9D9"/>
          </w:tcPr>
          <w:p>
            <w:pPr>
              <w:jc w:val="right"/>
              <w:ind w:right="170"/>
              <w:spacing w:after="0" w:line="189"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D9D9D9"/>
          </w:tcPr>
          <w:p>
            <w:pPr>
              <w:jc w:val="right"/>
              <w:spacing w:after="0" w:line="189" w:lineRule="exact"/>
              <w:rPr>
                <w:sz w:val="20"/>
                <w:szCs w:val="20"/>
                <w:color w:val="auto"/>
              </w:rPr>
            </w:pPr>
            <w:r>
              <w:rPr>
                <w:rFonts w:ascii="Arial" w:cs="Arial" w:eastAsia="Arial" w:hAnsi="Arial"/>
                <w:sz w:val="18"/>
                <w:szCs w:val="18"/>
                <w:b w:val="1"/>
                <w:bCs w:val="1"/>
                <w:color w:val="auto"/>
              </w:rPr>
              <w:t>(508)</w:t>
            </w:r>
          </w:p>
        </w:tc>
        <w:tc>
          <w:tcPr>
            <w:tcW w:w="0" w:type="dxa"/>
            <w:vAlign w:val="bottom"/>
          </w:tcPr>
          <w:p>
            <w:pPr>
              <w:spacing w:after="0"/>
              <w:rPr>
                <w:sz w:val="1"/>
                <w:szCs w:val="1"/>
                <w:color w:val="auto"/>
              </w:rPr>
            </w:pPr>
          </w:p>
        </w:tc>
      </w:tr>
      <w:tr>
        <w:trPr>
          <w:trHeight w:val="189"/>
        </w:trPr>
        <w:tc>
          <w:tcPr>
            <w:tcW w:w="5860" w:type="dxa"/>
            <w:vAlign w:val="bottom"/>
          </w:tcPr>
          <w:p>
            <w:pPr>
              <w:ind w:left="160"/>
              <w:spacing w:after="0" w:line="189" w:lineRule="exact"/>
              <w:rPr>
                <w:sz w:val="20"/>
                <w:szCs w:val="20"/>
                <w:color w:val="auto"/>
              </w:rPr>
            </w:pPr>
            <w:r>
              <w:rPr>
                <w:rFonts w:ascii="Arial" w:cs="Arial" w:eastAsia="Arial" w:hAnsi="Arial"/>
                <w:sz w:val="18"/>
                <w:szCs w:val="18"/>
                <w:color w:val="auto"/>
              </w:rPr>
              <w:t>Interest rate contracts</w:t>
            </w:r>
          </w:p>
        </w:tc>
        <w:tc>
          <w:tcPr>
            <w:tcW w:w="100" w:type="dxa"/>
            <w:vAlign w:val="bottom"/>
            <w:shd w:val="clear" w:color="auto" w:fill="D9D9D9"/>
          </w:tcPr>
          <w:p>
            <w:pPr>
              <w:spacing w:after="0"/>
              <w:rPr>
                <w:sz w:val="16"/>
                <w:szCs w:val="16"/>
                <w:color w:val="auto"/>
              </w:rPr>
            </w:pPr>
          </w:p>
        </w:tc>
        <w:tc>
          <w:tcPr>
            <w:tcW w:w="122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9D9D9"/>
          </w:tcPr>
          <w:p>
            <w:pPr>
              <w:spacing w:after="0"/>
              <w:rPr>
                <w:sz w:val="16"/>
                <w:szCs w:val="16"/>
                <w:color w:val="auto"/>
              </w:rPr>
            </w:pPr>
          </w:p>
        </w:tc>
        <w:tc>
          <w:tcPr>
            <w:tcW w:w="1220" w:type="dxa"/>
            <w:vAlign w:val="bottom"/>
            <w:shd w:val="clear" w:color="auto" w:fill="D9D9D9"/>
          </w:tcPr>
          <w:p>
            <w:pPr>
              <w:jc w:val="right"/>
              <w:ind w:right="10"/>
              <w:spacing w:after="0" w:line="189" w:lineRule="exact"/>
              <w:rPr>
                <w:sz w:val="20"/>
                <w:szCs w:val="20"/>
                <w:color w:val="auto"/>
              </w:rPr>
            </w:pPr>
            <w:r>
              <w:rPr>
                <w:rFonts w:ascii="Arial" w:cs="Arial" w:eastAsia="Arial" w:hAnsi="Arial"/>
                <w:sz w:val="18"/>
                <w:szCs w:val="18"/>
                <w:b w:val="1"/>
                <w:bCs w:val="1"/>
                <w:color w:val="auto"/>
              </w:rPr>
              <w:t>(28)</w:t>
            </w:r>
          </w:p>
        </w:tc>
        <w:tc>
          <w:tcPr>
            <w:tcW w:w="1480" w:type="dxa"/>
            <w:vAlign w:val="bottom"/>
            <w:shd w:val="clear" w:color="auto" w:fill="D9D9D9"/>
          </w:tcPr>
          <w:p>
            <w:pPr>
              <w:jc w:val="right"/>
              <w:ind w:right="170"/>
              <w:spacing w:after="0" w:line="189"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D9D9D9"/>
          </w:tcPr>
          <w:p>
            <w:pPr>
              <w:jc w:val="right"/>
              <w:spacing w:after="0" w:line="189" w:lineRule="exact"/>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21"/>
        </w:trPr>
        <w:tc>
          <w:tcPr>
            <w:tcW w:w="58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Commodity contracts</w:t>
            </w:r>
          </w:p>
        </w:tc>
        <w:tc>
          <w:tcPr>
            <w:tcW w:w="100" w:type="dxa"/>
            <w:vAlign w:val="bottom"/>
            <w:tcBorders>
              <w:bottom w:val="single" w:sz="8" w:color="auto"/>
            </w:tcBorders>
            <w:shd w:val="clear" w:color="auto" w:fill="D9D9D9"/>
          </w:tcPr>
          <w:p>
            <w:pPr>
              <w:spacing w:after="0"/>
              <w:rPr>
                <w:sz w:val="19"/>
                <w:szCs w:val="19"/>
                <w:color w:val="auto"/>
              </w:rPr>
            </w:pPr>
          </w:p>
        </w:tc>
        <w:tc>
          <w:tcPr>
            <w:tcW w:w="1220" w:type="dxa"/>
            <w:vAlign w:val="bottom"/>
            <w:tcBorders>
              <w:bottom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(1,212)</w:t>
            </w:r>
          </w:p>
        </w:tc>
        <w:tc>
          <w:tcPr>
            <w:tcW w:w="100" w:type="dxa"/>
            <w:vAlign w:val="bottom"/>
            <w:tcBorders>
              <w:bottom w:val="single" w:sz="8" w:color="auto"/>
            </w:tcBorders>
            <w:shd w:val="clear" w:color="auto" w:fill="D9D9D9"/>
          </w:tcPr>
          <w:p>
            <w:pPr>
              <w:spacing w:after="0"/>
              <w:rPr>
                <w:sz w:val="19"/>
                <w:szCs w:val="19"/>
                <w:color w:val="auto"/>
              </w:rPr>
            </w:pPr>
          </w:p>
        </w:tc>
        <w:tc>
          <w:tcPr>
            <w:tcW w:w="1220" w:type="dxa"/>
            <w:vAlign w:val="bottom"/>
            <w:tcBorders>
              <w:bottom w:val="single" w:sz="8" w:color="auto"/>
            </w:tcBorders>
            <w:shd w:val="clear" w:color="auto" w:fill="D9D9D9"/>
          </w:tcPr>
          <w:p>
            <w:pPr>
              <w:jc w:val="right"/>
              <w:ind w:right="10"/>
              <w:spacing w:after="0"/>
              <w:rPr>
                <w:sz w:val="20"/>
                <w:szCs w:val="20"/>
                <w:color w:val="auto"/>
              </w:rPr>
            </w:pPr>
            <w:r>
              <w:rPr>
                <w:rFonts w:ascii="Arial" w:cs="Arial" w:eastAsia="Arial" w:hAnsi="Arial"/>
                <w:sz w:val="18"/>
                <w:szCs w:val="18"/>
                <w:b w:val="1"/>
                <w:bCs w:val="1"/>
                <w:color w:val="auto"/>
              </w:rPr>
              <w:t>(102)</w:t>
            </w:r>
          </w:p>
        </w:tc>
        <w:tc>
          <w:tcPr>
            <w:tcW w:w="1480" w:type="dxa"/>
            <w:vAlign w:val="bottom"/>
            <w:tcBorders>
              <w:bottom w:val="single" w:sz="8" w:color="auto"/>
            </w:tcBorders>
            <w:shd w:val="clear" w:color="auto" w:fill="D9D9D9"/>
          </w:tcPr>
          <w:p>
            <w:pPr>
              <w:jc w:val="right"/>
              <w:ind w:right="110"/>
              <w:spacing w:after="0"/>
              <w:rPr>
                <w:sz w:val="20"/>
                <w:szCs w:val="20"/>
                <w:color w:val="auto"/>
              </w:rPr>
            </w:pPr>
            <w:r>
              <w:rPr>
                <w:rFonts w:ascii="Arial" w:cs="Arial" w:eastAsia="Arial" w:hAnsi="Arial"/>
                <w:sz w:val="18"/>
                <w:szCs w:val="18"/>
                <w:b w:val="1"/>
                <w:bCs w:val="1"/>
                <w:color w:val="auto"/>
              </w:rPr>
              <w:t>(511)</w:t>
            </w:r>
          </w:p>
        </w:tc>
        <w:tc>
          <w:tcPr>
            <w:tcW w:w="12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b w:val="1"/>
                <w:bCs w:val="1"/>
                <w:color w:val="auto"/>
              </w:rPr>
              <w:t>(1,825)</w:t>
            </w:r>
          </w:p>
        </w:tc>
        <w:tc>
          <w:tcPr>
            <w:tcW w:w="0" w:type="dxa"/>
            <w:vAlign w:val="bottom"/>
          </w:tcPr>
          <w:p>
            <w:pPr>
              <w:spacing w:after="0"/>
              <w:rPr>
                <w:sz w:val="1"/>
                <w:szCs w:val="1"/>
                <w:color w:val="auto"/>
              </w:rPr>
            </w:pPr>
          </w:p>
        </w:tc>
      </w:tr>
      <w:tr>
        <w:trPr>
          <w:trHeight w:val="183"/>
        </w:trPr>
        <w:tc>
          <w:tcPr>
            <w:tcW w:w="5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shd w:val="clear" w:color="auto" w:fill="D9D9D9"/>
          </w:tcPr>
          <w:p>
            <w:pPr>
              <w:spacing w:after="0"/>
              <w:rPr>
                <w:sz w:val="15"/>
                <w:szCs w:val="15"/>
                <w:color w:val="auto"/>
              </w:rPr>
            </w:pPr>
          </w:p>
        </w:tc>
        <w:tc>
          <w:tcPr>
            <w:tcW w:w="1220" w:type="dxa"/>
            <w:vAlign w:val="bottom"/>
            <w:tcBorders>
              <w:bottom w:val="single" w:sz="8" w:color="auto"/>
            </w:tcBorders>
            <w:shd w:val="clear" w:color="auto" w:fill="D9D9D9"/>
          </w:tcPr>
          <w:p>
            <w:pPr>
              <w:jc w:val="right"/>
              <w:ind w:right="30"/>
              <w:spacing w:after="0" w:line="182" w:lineRule="exact"/>
              <w:rPr>
                <w:sz w:val="20"/>
                <w:szCs w:val="20"/>
                <w:color w:val="auto"/>
              </w:rPr>
            </w:pPr>
            <w:r>
              <w:rPr>
                <w:rFonts w:ascii="Arial" w:cs="Arial" w:eastAsia="Arial" w:hAnsi="Arial"/>
                <w:sz w:val="18"/>
                <w:szCs w:val="18"/>
                <w:b w:val="1"/>
                <w:bCs w:val="1"/>
                <w:color w:val="auto"/>
              </w:rPr>
              <w:t>(1,212)</w:t>
            </w:r>
          </w:p>
        </w:tc>
        <w:tc>
          <w:tcPr>
            <w:tcW w:w="100" w:type="dxa"/>
            <w:vAlign w:val="bottom"/>
            <w:tcBorders>
              <w:bottom w:val="single" w:sz="8" w:color="auto"/>
            </w:tcBorders>
            <w:shd w:val="clear" w:color="auto" w:fill="D9D9D9"/>
          </w:tcPr>
          <w:p>
            <w:pPr>
              <w:spacing w:after="0"/>
              <w:rPr>
                <w:sz w:val="15"/>
                <w:szCs w:val="15"/>
                <w:color w:val="auto"/>
              </w:rPr>
            </w:pPr>
          </w:p>
        </w:tc>
        <w:tc>
          <w:tcPr>
            <w:tcW w:w="1220" w:type="dxa"/>
            <w:vAlign w:val="bottom"/>
            <w:tcBorders>
              <w:bottom w:val="single" w:sz="8" w:color="auto"/>
            </w:tcBorders>
            <w:shd w:val="clear" w:color="auto" w:fill="D9D9D9"/>
          </w:tcPr>
          <w:p>
            <w:pPr>
              <w:jc w:val="right"/>
              <w:ind w:right="10"/>
              <w:spacing w:after="0" w:line="182" w:lineRule="exact"/>
              <w:rPr>
                <w:sz w:val="20"/>
                <w:szCs w:val="20"/>
                <w:color w:val="auto"/>
              </w:rPr>
            </w:pPr>
            <w:r>
              <w:rPr>
                <w:rFonts w:ascii="Arial" w:cs="Arial" w:eastAsia="Arial" w:hAnsi="Arial"/>
                <w:sz w:val="18"/>
                <w:szCs w:val="18"/>
                <w:b w:val="1"/>
                <w:bCs w:val="1"/>
                <w:color w:val="auto"/>
              </w:rPr>
              <w:t>(638)</w:t>
            </w:r>
          </w:p>
        </w:tc>
        <w:tc>
          <w:tcPr>
            <w:tcW w:w="1480" w:type="dxa"/>
            <w:vAlign w:val="bottom"/>
            <w:tcBorders>
              <w:bottom w:val="single" w:sz="8" w:color="auto"/>
            </w:tcBorders>
            <w:shd w:val="clear" w:color="auto" w:fill="D9D9D9"/>
          </w:tcPr>
          <w:p>
            <w:pPr>
              <w:jc w:val="right"/>
              <w:ind w:right="110"/>
              <w:spacing w:after="0" w:line="182" w:lineRule="exact"/>
              <w:rPr>
                <w:sz w:val="20"/>
                <w:szCs w:val="20"/>
                <w:color w:val="auto"/>
              </w:rPr>
            </w:pPr>
            <w:r>
              <w:rPr>
                <w:rFonts w:ascii="Arial" w:cs="Arial" w:eastAsia="Arial" w:hAnsi="Arial"/>
                <w:sz w:val="18"/>
                <w:szCs w:val="18"/>
                <w:b w:val="1"/>
                <w:bCs w:val="1"/>
                <w:color w:val="auto"/>
              </w:rPr>
              <w:t>(511)</w:t>
            </w:r>
          </w:p>
        </w:tc>
        <w:tc>
          <w:tcPr>
            <w:tcW w:w="1260" w:type="dxa"/>
            <w:vAlign w:val="bottom"/>
            <w:tcBorders>
              <w:bottom w:val="single" w:sz="8" w:color="auto"/>
            </w:tcBorders>
            <w:shd w:val="clear" w:color="auto" w:fill="D9D9D9"/>
          </w:tcPr>
          <w:p>
            <w:pPr>
              <w:jc w:val="right"/>
              <w:spacing w:after="0" w:line="182" w:lineRule="exact"/>
              <w:rPr>
                <w:sz w:val="20"/>
                <w:szCs w:val="20"/>
                <w:color w:val="auto"/>
              </w:rPr>
            </w:pPr>
            <w:r>
              <w:rPr>
                <w:rFonts w:ascii="Arial" w:cs="Arial" w:eastAsia="Arial" w:hAnsi="Arial"/>
                <w:sz w:val="18"/>
                <w:szCs w:val="18"/>
                <w:b w:val="1"/>
                <w:bCs w:val="1"/>
                <w:color w:val="auto"/>
              </w:rPr>
              <w:t>(2,361)</w:t>
            </w:r>
          </w:p>
        </w:tc>
        <w:tc>
          <w:tcPr>
            <w:tcW w:w="0" w:type="dxa"/>
            <w:vAlign w:val="bottom"/>
          </w:tcPr>
          <w:p>
            <w:pPr>
              <w:spacing w:after="0"/>
              <w:rPr>
                <w:sz w:val="1"/>
                <w:szCs w:val="1"/>
                <w:color w:val="auto"/>
              </w:rPr>
            </w:pPr>
          </w:p>
        </w:tc>
      </w:tr>
      <w:tr>
        <w:trPr>
          <w:trHeight w:val="150"/>
        </w:trPr>
        <w:tc>
          <w:tcPr>
            <w:tcW w:w="5860" w:type="dxa"/>
            <w:vAlign w:val="bottom"/>
          </w:tcPr>
          <w:p>
            <w:pPr>
              <w:ind w:left="80"/>
              <w:spacing w:after="0" w:line="150" w:lineRule="exact"/>
              <w:rPr>
                <w:sz w:val="20"/>
                <w:szCs w:val="20"/>
                <w:color w:val="auto"/>
              </w:rPr>
            </w:pPr>
            <w:r>
              <w:rPr>
                <w:rFonts w:ascii="Arial" w:cs="Arial" w:eastAsia="Arial" w:hAnsi="Arial"/>
                <w:sz w:val="17"/>
                <w:szCs w:val="17"/>
                <w:color w:val="auto"/>
              </w:rPr>
              <w:t>Long-term derivative liabilities</w:t>
            </w:r>
          </w:p>
        </w:tc>
        <w:tc>
          <w:tcPr>
            <w:tcW w:w="100" w:type="dxa"/>
            <w:vAlign w:val="bottom"/>
            <w:shd w:val="clear" w:color="auto" w:fill="D9D9D9"/>
          </w:tcPr>
          <w:p>
            <w:pPr>
              <w:spacing w:after="0"/>
              <w:rPr>
                <w:sz w:val="13"/>
                <w:szCs w:val="13"/>
                <w:color w:val="auto"/>
              </w:rPr>
            </w:pPr>
          </w:p>
        </w:tc>
        <w:tc>
          <w:tcPr>
            <w:tcW w:w="122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220" w:type="dxa"/>
            <w:vAlign w:val="bottom"/>
            <w:shd w:val="clear" w:color="auto" w:fill="D9D9D9"/>
          </w:tcPr>
          <w:p>
            <w:pPr>
              <w:spacing w:after="0"/>
              <w:rPr>
                <w:sz w:val="13"/>
                <w:szCs w:val="13"/>
                <w:color w:val="auto"/>
              </w:rPr>
            </w:pPr>
          </w:p>
        </w:tc>
        <w:tc>
          <w:tcPr>
            <w:tcW w:w="1480" w:type="dxa"/>
            <w:vAlign w:val="bottom"/>
            <w:shd w:val="clear" w:color="auto" w:fill="D9D9D9"/>
          </w:tcPr>
          <w:p>
            <w:pPr>
              <w:spacing w:after="0"/>
              <w:rPr>
                <w:sz w:val="13"/>
                <w:szCs w:val="13"/>
                <w:color w:val="auto"/>
              </w:rPr>
            </w:pPr>
          </w:p>
        </w:tc>
        <w:tc>
          <w:tcPr>
            <w:tcW w:w="126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60" w:type="dxa"/>
            <w:vAlign w:val="bottom"/>
          </w:tcPr>
          <w:p>
            <w:pPr>
              <w:ind w:left="160"/>
              <w:spacing w:after="0" w:line="189" w:lineRule="exact"/>
              <w:rPr>
                <w:sz w:val="20"/>
                <w:szCs w:val="20"/>
                <w:color w:val="auto"/>
              </w:rPr>
            </w:pPr>
            <w:r>
              <w:rPr>
                <w:rFonts w:ascii="Arial" w:cs="Arial" w:eastAsia="Arial" w:hAnsi="Arial"/>
                <w:sz w:val="18"/>
                <w:szCs w:val="18"/>
                <w:color w:val="auto"/>
              </w:rPr>
              <w:t>Foreign exchange contracts</w:t>
            </w:r>
          </w:p>
        </w:tc>
        <w:tc>
          <w:tcPr>
            <w:tcW w:w="100" w:type="dxa"/>
            <w:vAlign w:val="bottom"/>
            <w:shd w:val="clear" w:color="auto" w:fill="D9D9D9"/>
          </w:tcPr>
          <w:p>
            <w:pPr>
              <w:spacing w:after="0"/>
              <w:rPr>
                <w:sz w:val="16"/>
                <w:szCs w:val="16"/>
                <w:color w:val="auto"/>
              </w:rPr>
            </w:pPr>
          </w:p>
        </w:tc>
        <w:tc>
          <w:tcPr>
            <w:tcW w:w="122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D9D9D9"/>
          </w:tcPr>
          <w:p>
            <w:pPr>
              <w:jc w:val="right"/>
              <w:spacing w:after="0" w:line="189" w:lineRule="exact"/>
              <w:rPr>
                <w:sz w:val="20"/>
                <w:szCs w:val="20"/>
                <w:color w:val="auto"/>
              </w:rPr>
            </w:pPr>
            <w:r>
              <w:rPr>
                <w:rFonts w:ascii="Arial" w:cs="Arial" w:eastAsia="Arial" w:hAnsi="Arial"/>
                <w:sz w:val="18"/>
                <w:szCs w:val="18"/>
                <w:b w:val="1"/>
                <w:bCs w:val="1"/>
                <w:color w:val="auto"/>
              </w:rPr>
              <w:t>(1,087)</w:t>
            </w:r>
          </w:p>
        </w:tc>
        <w:tc>
          <w:tcPr>
            <w:tcW w:w="1480" w:type="dxa"/>
            <w:vAlign w:val="bottom"/>
            <w:shd w:val="clear" w:color="auto" w:fill="D9D9D9"/>
          </w:tcPr>
          <w:p>
            <w:pPr>
              <w:jc w:val="right"/>
              <w:ind w:right="170"/>
              <w:spacing w:after="0" w:line="189"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D9D9D9"/>
          </w:tcPr>
          <w:p>
            <w:pPr>
              <w:jc w:val="right"/>
              <w:spacing w:after="0" w:line="189" w:lineRule="exact"/>
              <w:rPr>
                <w:sz w:val="20"/>
                <w:szCs w:val="20"/>
                <w:color w:val="auto"/>
              </w:rPr>
            </w:pPr>
            <w:r>
              <w:rPr>
                <w:rFonts w:ascii="Arial" w:cs="Arial" w:eastAsia="Arial" w:hAnsi="Arial"/>
                <w:sz w:val="18"/>
                <w:szCs w:val="18"/>
                <w:b w:val="1"/>
                <w:bCs w:val="1"/>
                <w:color w:val="auto"/>
              </w:rPr>
              <w:t>(1,087)</w:t>
            </w:r>
          </w:p>
        </w:tc>
        <w:tc>
          <w:tcPr>
            <w:tcW w:w="0" w:type="dxa"/>
            <w:vAlign w:val="bottom"/>
          </w:tcPr>
          <w:p>
            <w:pPr>
              <w:spacing w:after="0"/>
              <w:rPr>
                <w:sz w:val="1"/>
                <w:szCs w:val="1"/>
                <w:color w:val="auto"/>
              </w:rPr>
            </w:pPr>
          </w:p>
        </w:tc>
      </w:tr>
      <w:tr>
        <w:trPr>
          <w:trHeight w:val="201"/>
        </w:trPr>
        <w:tc>
          <w:tcPr>
            <w:tcW w:w="5860" w:type="dxa"/>
            <w:vAlign w:val="bottom"/>
          </w:tcPr>
          <w:p>
            <w:pPr>
              <w:ind w:left="160"/>
              <w:spacing w:after="0" w:line="189" w:lineRule="exact"/>
              <w:rPr>
                <w:sz w:val="20"/>
                <w:szCs w:val="20"/>
                <w:color w:val="auto"/>
              </w:rPr>
            </w:pPr>
            <w:r>
              <w:rPr>
                <w:rFonts w:ascii="Arial" w:cs="Arial" w:eastAsia="Arial" w:hAnsi="Arial"/>
                <w:sz w:val="18"/>
                <w:szCs w:val="18"/>
                <w:color w:val="auto"/>
              </w:rPr>
              <w:t>Interest rate contracts</w:t>
            </w:r>
          </w:p>
        </w:tc>
        <w:tc>
          <w:tcPr>
            <w:tcW w:w="100" w:type="dxa"/>
            <w:vAlign w:val="bottom"/>
            <w:tcBorders>
              <w:bottom w:val="single" w:sz="8" w:color="D9D9D9"/>
            </w:tcBorders>
            <w:shd w:val="clear" w:color="auto" w:fill="D9D9D9"/>
          </w:tcPr>
          <w:p>
            <w:pPr>
              <w:spacing w:after="0"/>
              <w:rPr>
                <w:sz w:val="17"/>
                <w:szCs w:val="17"/>
                <w:color w:val="auto"/>
              </w:rPr>
            </w:pPr>
          </w:p>
        </w:tc>
        <w:tc>
          <w:tcPr>
            <w:tcW w:w="1220" w:type="dxa"/>
            <w:vAlign w:val="bottom"/>
            <w:tcBorders>
              <w:bottom w:val="single" w:sz="8" w:color="D9D9D9"/>
            </w:tcBorders>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D9D9D9"/>
            </w:tcBorders>
            <w:gridSpan w:val="2"/>
            <w:shd w:val="clear" w:color="auto" w:fill="D9D9D9"/>
          </w:tcPr>
          <w:p>
            <w:pPr>
              <w:jc w:val="right"/>
              <w:spacing w:after="0" w:line="189" w:lineRule="exact"/>
              <w:rPr>
                <w:sz w:val="20"/>
                <w:szCs w:val="20"/>
                <w:color w:val="auto"/>
              </w:rPr>
            </w:pPr>
            <w:r>
              <w:rPr>
                <w:rFonts w:ascii="Arial" w:cs="Arial" w:eastAsia="Arial" w:hAnsi="Arial"/>
                <w:sz w:val="18"/>
                <w:szCs w:val="18"/>
                <w:b w:val="1"/>
                <w:bCs w:val="1"/>
                <w:color w:val="auto"/>
              </w:rPr>
              <w:t>(119)</w:t>
            </w:r>
          </w:p>
        </w:tc>
        <w:tc>
          <w:tcPr>
            <w:tcW w:w="1480" w:type="dxa"/>
            <w:vAlign w:val="bottom"/>
            <w:tcBorders>
              <w:bottom w:val="single" w:sz="8" w:color="D9D9D9"/>
            </w:tcBorders>
            <w:shd w:val="clear" w:color="auto" w:fill="D9D9D9"/>
          </w:tcPr>
          <w:p>
            <w:pPr>
              <w:jc w:val="right"/>
              <w:ind w:right="170"/>
              <w:spacing w:after="0" w:line="189" w:lineRule="exact"/>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D9D9D9"/>
            </w:tcBorders>
            <w:shd w:val="clear" w:color="auto" w:fill="D9D9D9"/>
          </w:tcPr>
          <w:p>
            <w:pPr>
              <w:jc w:val="right"/>
              <w:spacing w:after="0" w:line="189" w:lineRule="exact"/>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189"/>
        </w:trPr>
        <w:tc>
          <w:tcPr>
            <w:tcW w:w="5860" w:type="dxa"/>
            <w:vAlign w:val="bottom"/>
            <w:tcBorders>
              <w:bottom w:val="single" w:sz="8" w:color="auto"/>
            </w:tcBorders>
          </w:tcPr>
          <w:p>
            <w:pPr>
              <w:ind w:left="160"/>
              <w:spacing w:after="0" w:line="189" w:lineRule="exact"/>
              <w:rPr>
                <w:sz w:val="20"/>
                <w:szCs w:val="20"/>
                <w:color w:val="auto"/>
              </w:rPr>
            </w:pPr>
            <w:r>
              <w:rPr>
                <w:rFonts w:ascii="Arial" w:cs="Arial" w:eastAsia="Arial" w:hAnsi="Arial"/>
                <w:sz w:val="18"/>
                <w:szCs w:val="18"/>
                <w:color w:val="auto"/>
              </w:rPr>
              <w:t>Commodity contracts</w:t>
            </w:r>
          </w:p>
        </w:tc>
        <w:tc>
          <w:tcPr>
            <w:tcW w:w="100" w:type="dxa"/>
            <w:vAlign w:val="bottom"/>
            <w:tcBorders>
              <w:bottom w:val="single" w:sz="8" w:color="auto"/>
            </w:tcBorders>
            <w:shd w:val="clear" w:color="auto" w:fill="D9D9D9"/>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(8)</w:t>
            </w:r>
          </w:p>
        </w:tc>
        <w:tc>
          <w:tcPr>
            <w:tcW w:w="132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8"/>
                <w:szCs w:val="18"/>
                <w:b w:val="1"/>
                <w:bCs w:val="1"/>
                <w:color w:val="auto"/>
              </w:rPr>
              <w:t>(37)</w:t>
            </w:r>
          </w:p>
        </w:tc>
        <w:tc>
          <w:tcPr>
            <w:tcW w:w="1480" w:type="dxa"/>
            <w:vAlign w:val="bottom"/>
            <w:tcBorders>
              <w:bottom w:val="single" w:sz="8" w:color="auto"/>
            </w:tcBorders>
          </w:tcPr>
          <w:p>
            <w:pPr>
              <w:jc w:val="right"/>
              <w:ind w:right="110"/>
              <w:spacing w:after="0" w:line="189" w:lineRule="exact"/>
              <w:rPr>
                <w:sz w:val="20"/>
                <w:szCs w:val="20"/>
                <w:color w:val="auto"/>
              </w:rPr>
            </w:pPr>
            <w:r>
              <w:rPr>
                <w:rFonts w:ascii="Arial" w:cs="Arial" w:eastAsia="Arial" w:hAnsi="Arial"/>
                <w:sz w:val="18"/>
                <w:szCs w:val="18"/>
                <w:b w:val="1"/>
                <w:bCs w:val="1"/>
                <w:color w:val="auto"/>
              </w:rPr>
              <w:t>(68)</w:t>
            </w: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183"/>
        </w:trPr>
        <w:tc>
          <w:tcPr>
            <w:tcW w:w="5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shd w:val="clear" w:color="auto" w:fill="D9D9D9"/>
          </w:tcPr>
          <w:p>
            <w:pPr>
              <w:spacing w:after="0"/>
              <w:rPr>
                <w:sz w:val="15"/>
                <w:szCs w:val="15"/>
                <w:color w:val="auto"/>
              </w:rPr>
            </w:pP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(8)</w:t>
            </w:r>
          </w:p>
        </w:tc>
        <w:tc>
          <w:tcPr>
            <w:tcW w:w="1320" w:type="dxa"/>
            <w:vAlign w:val="bottom"/>
            <w:tcBorders>
              <w:bottom w:val="single" w:sz="8" w:color="auto"/>
            </w:tcBorders>
            <w:gridSpan w:val="2"/>
            <w:shd w:val="clear" w:color="auto" w:fill="D9D9D9"/>
          </w:tcPr>
          <w:p>
            <w:pPr>
              <w:jc w:val="right"/>
              <w:spacing w:after="0" w:line="182" w:lineRule="exact"/>
              <w:rPr>
                <w:sz w:val="20"/>
                <w:szCs w:val="20"/>
                <w:color w:val="auto"/>
              </w:rPr>
            </w:pPr>
            <w:r>
              <w:rPr>
                <w:rFonts w:ascii="Arial" w:cs="Arial" w:eastAsia="Arial" w:hAnsi="Arial"/>
                <w:sz w:val="18"/>
                <w:szCs w:val="18"/>
                <w:b w:val="1"/>
                <w:bCs w:val="1"/>
                <w:color w:val="auto"/>
              </w:rPr>
              <w:t>(1,243)</w:t>
            </w:r>
          </w:p>
        </w:tc>
        <w:tc>
          <w:tcPr>
            <w:tcW w:w="1480" w:type="dxa"/>
            <w:vAlign w:val="bottom"/>
            <w:tcBorders>
              <w:bottom w:val="single" w:sz="8" w:color="auto"/>
            </w:tcBorders>
            <w:shd w:val="clear" w:color="auto" w:fill="D9D9D9"/>
          </w:tcPr>
          <w:p>
            <w:pPr>
              <w:jc w:val="right"/>
              <w:ind w:right="110"/>
              <w:spacing w:after="0" w:line="182" w:lineRule="exact"/>
              <w:rPr>
                <w:sz w:val="20"/>
                <w:szCs w:val="20"/>
                <w:color w:val="auto"/>
              </w:rPr>
            </w:pPr>
            <w:r>
              <w:rPr>
                <w:rFonts w:ascii="Arial" w:cs="Arial" w:eastAsia="Arial" w:hAnsi="Arial"/>
                <w:sz w:val="18"/>
                <w:szCs w:val="18"/>
                <w:b w:val="1"/>
                <w:bCs w:val="1"/>
                <w:color w:val="auto"/>
              </w:rPr>
              <w:t>(68)</w:t>
            </w:r>
          </w:p>
        </w:tc>
        <w:tc>
          <w:tcPr>
            <w:tcW w:w="1260" w:type="dxa"/>
            <w:vAlign w:val="bottom"/>
            <w:tcBorders>
              <w:bottom w:val="single" w:sz="8" w:color="auto"/>
            </w:tcBorders>
            <w:shd w:val="clear" w:color="auto" w:fill="D9D9D9"/>
          </w:tcPr>
          <w:p>
            <w:pPr>
              <w:jc w:val="right"/>
              <w:spacing w:after="0" w:line="182" w:lineRule="exact"/>
              <w:rPr>
                <w:sz w:val="20"/>
                <w:szCs w:val="20"/>
                <w:color w:val="auto"/>
              </w:rPr>
            </w:pPr>
            <w:r>
              <w:rPr>
                <w:rFonts w:ascii="Arial" w:cs="Arial" w:eastAsia="Arial" w:hAnsi="Arial"/>
                <w:sz w:val="18"/>
                <w:szCs w:val="18"/>
                <w:b w:val="1"/>
                <w:bCs w:val="1"/>
                <w:color w:val="auto"/>
              </w:rPr>
              <w:t>(1,319)</w:t>
            </w:r>
          </w:p>
        </w:tc>
        <w:tc>
          <w:tcPr>
            <w:tcW w:w="0" w:type="dxa"/>
            <w:vAlign w:val="bottom"/>
          </w:tcPr>
          <w:p>
            <w:pPr>
              <w:spacing w:after="0"/>
              <w:rPr>
                <w:sz w:val="1"/>
                <w:szCs w:val="1"/>
                <w:color w:val="auto"/>
              </w:rPr>
            </w:pPr>
          </w:p>
        </w:tc>
      </w:tr>
      <w:tr>
        <w:trPr>
          <w:trHeight w:val="150"/>
        </w:trPr>
        <w:tc>
          <w:tcPr>
            <w:tcW w:w="5860" w:type="dxa"/>
            <w:vAlign w:val="bottom"/>
          </w:tcPr>
          <w:p>
            <w:pPr>
              <w:ind w:left="80"/>
              <w:spacing w:after="0" w:line="150" w:lineRule="exact"/>
              <w:rPr>
                <w:sz w:val="20"/>
                <w:szCs w:val="20"/>
                <w:color w:val="auto"/>
              </w:rPr>
            </w:pPr>
            <w:r>
              <w:rPr>
                <w:rFonts w:ascii="Arial" w:cs="Arial" w:eastAsia="Arial" w:hAnsi="Arial"/>
                <w:sz w:val="17"/>
                <w:szCs w:val="17"/>
                <w:color w:val="auto"/>
              </w:rPr>
              <w:t>Total net financial asset/(liability)</w:t>
            </w:r>
          </w:p>
        </w:tc>
        <w:tc>
          <w:tcPr>
            <w:tcW w:w="100" w:type="dxa"/>
            <w:vAlign w:val="bottom"/>
            <w:shd w:val="clear" w:color="auto" w:fill="D9D9D9"/>
          </w:tcPr>
          <w:p>
            <w:pPr>
              <w:spacing w:after="0"/>
              <w:rPr>
                <w:sz w:val="13"/>
                <w:szCs w:val="13"/>
                <w:color w:val="auto"/>
              </w:rPr>
            </w:pPr>
          </w:p>
        </w:tc>
        <w:tc>
          <w:tcPr>
            <w:tcW w:w="122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220" w:type="dxa"/>
            <w:vAlign w:val="bottom"/>
            <w:shd w:val="clear" w:color="auto" w:fill="D9D9D9"/>
          </w:tcPr>
          <w:p>
            <w:pPr>
              <w:spacing w:after="0"/>
              <w:rPr>
                <w:sz w:val="13"/>
                <w:szCs w:val="13"/>
                <w:color w:val="auto"/>
              </w:rPr>
            </w:pPr>
          </w:p>
        </w:tc>
        <w:tc>
          <w:tcPr>
            <w:tcW w:w="1480" w:type="dxa"/>
            <w:vAlign w:val="bottom"/>
            <w:shd w:val="clear" w:color="auto" w:fill="D9D9D9"/>
          </w:tcPr>
          <w:p>
            <w:pPr>
              <w:spacing w:after="0"/>
              <w:rPr>
                <w:sz w:val="13"/>
                <w:szCs w:val="13"/>
                <w:color w:val="auto"/>
              </w:rPr>
            </w:pPr>
          </w:p>
        </w:tc>
        <w:tc>
          <w:tcPr>
            <w:tcW w:w="126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60" w:type="dxa"/>
            <w:vAlign w:val="bottom"/>
          </w:tcPr>
          <w:p>
            <w:pPr>
              <w:ind w:left="160"/>
              <w:spacing w:after="0" w:line="189" w:lineRule="exact"/>
              <w:rPr>
                <w:sz w:val="20"/>
                <w:szCs w:val="20"/>
                <w:color w:val="auto"/>
              </w:rPr>
            </w:pPr>
            <w:r>
              <w:rPr>
                <w:rFonts w:ascii="Arial" w:cs="Arial" w:eastAsia="Arial" w:hAnsi="Arial"/>
                <w:sz w:val="18"/>
                <w:szCs w:val="18"/>
                <w:color w:val="auto"/>
              </w:rPr>
              <w:t>Foreign exchange contracts</w:t>
            </w:r>
          </w:p>
        </w:tc>
        <w:tc>
          <w:tcPr>
            <w:tcW w:w="100" w:type="dxa"/>
            <w:vAlign w:val="bottom"/>
            <w:shd w:val="clear" w:color="auto" w:fill="D9D9D9"/>
          </w:tcPr>
          <w:p>
            <w:pPr>
              <w:spacing w:after="0"/>
              <w:rPr>
                <w:sz w:val="16"/>
                <w:szCs w:val="16"/>
                <w:color w:val="auto"/>
              </w:rPr>
            </w:pPr>
          </w:p>
        </w:tc>
        <w:tc>
          <w:tcPr>
            <w:tcW w:w="122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D9D9D9"/>
          </w:tcPr>
          <w:p>
            <w:pPr>
              <w:jc w:val="right"/>
              <w:spacing w:after="0" w:line="189" w:lineRule="exact"/>
              <w:rPr>
                <w:sz w:val="20"/>
                <w:szCs w:val="20"/>
                <w:color w:val="auto"/>
              </w:rPr>
            </w:pPr>
            <w:r>
              <w:rPr>
                <w:rFonts w:ascii="Arial" w:cs="Arial" w:eastAsia="Arial" w:hAnsi="Arial"/>
                <w:sz w:val="18"/>
                <w:szCs w:val="18"/>
                <w:b w:val="1"/>
                <w:bCs w:val="1"/>
                <w:color w:val="auto"/>
              </w:rPr>
              <w:t>(1,532)</w:t>
            </w:r>
          </w:p>
        </w:tc>
        <w:tc>
          <w:tcPr>
            <w:tcW w:w="1480" w:type="dxa"/>
            <w:vAlign w:val="bottom"/>
            <w:shd w:val="clear" w:color="auto" w:fill="D9D9D9"/>
          </w:tcPr>
          <w:p>
            <w:pPr>
              <w:jc w:val="right"/>
              <w:ind w:right="170"/>
              <w:spacing w:after="0" w:line="189"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D9D9D9"/>
          </w:tcPr>
          <w:p>
            <w:pPr>
              <w:jc w:val="right"/>
              <w:spacing w:after="0" w:line="189" w:lineRule="exact"/>
              <w:rPr>
                <w:sz w:val="20"/>
                <w:szCs w:val="20"/>
                <w:color w:val="auto"/>
              </w:rPr>
            </w:pPr>
            <w:r>
              <w:rPr>
                <w:rFonts w:ascii="Arial" w:cs="Arial" w:eastAsia="Arial" w:hAnsi="Arial"/>
                <w:sz w:val="18"/>
                <w:szCs w:val="18"/>
                <w:b w:val="1"/>
                <w:bCs w:val="1"/>
                <w:color w:val="auto"/>
              </w:rPr>
              <w:t>(1,532)</w:t>
            </w:r>
          </w:p>
        </w:tc>
        <w:tc>
          <w:tcPr>
            <w:tcW w:w="0" w:type="dxa"/>
            <w:vAlign w:val="bottom"/>
          </w:tcPr>
          <w:p>
            <w:pPr>
              <w:spacing w:after="0"/>
              <w:rPr>
                <w:sz w:val="1"/>
                <w:szCs w:val="1"/>
                <w:color w:val="auto"/>
              </w:rPr>
            </w:pPr>
          </w:p>
        </w:tc>
      </w:tr>
      <w:tr>
        <w:trPr>
          <w:trHeight w:val="189"/>
        </w:trPr>
        <w:tc>
          <w:tcPr>
            <w:tcW w:w="5860" w:type="dxa"/>
            <w:vAlign w:val="bottom"/>
          </w:tcPr>
          <w:p>
            <w:pPr>
              <w:ind w:left="160"/>
              <w:spacing w:after="0" w:line="189" w:lineRule="exact"/>
              <w:rPr>
                <w:sz w:val="20"/>
                <w:szCs w:val="20"/>
                <w:color w:val="auto"/>
              </w:rPr>
            </w:pPr>
            <w:r>
              <w:rPr>
                <w:rFonts w:ascii="Arial" w:cs="Arial" w:eastAsia="Arial" w:hAnsi="Arial"/>
                <w:sz w:val="18"/>
                <w:szCs w:val="18"/>
                <w:color w:val="auto"/>
              </w:rPr>
              <w:t>Interest rate contracts</w:t>
            </w:r>
          </w:p>
        </w:tc>
        <w:tc>
          <w:tcPr>
            <w:tcW w:w="100" w:type="dxa"/>
            <w:vAlign w:val="bottom"/>
            <w:shd w:val="clear" w:color="auto" w:fill="D9D9D9"/>
          </w:tcPr>
          <w:p>
            <w:pPr>
              <w:spacing w:after="0"/>
              <w:rPr>
                <w:sz w:val="16"/>
                <w:szCs w:val="16"/>
                <w:color w:val="auto"/>
              </w:rPr>
            </w:pPr>
          </w:p>
        </w:tc>
        <w:tc>
          <w:tcPr>
            <w:tcW w:w="122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69</w:t>
            </w:r>
          </w:p>
        </w:tc>
        <w:tc>
          <w:tcPr>
            <w:tcW w:w="1480" w:type="dxa"/>
            <w:vAlign w:val="bottom"/>
            <w:shd w:val="clear" w:color="auto" w:fill="D9D9D9"/>
          </w:tcPr>
          <w:p>
            <w:pPr>
              <w:jc w:val="right"/>
              <w:ind w:right="170"/>
              <w:spacing w:after="0" w:line="189"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D9D9D9"/>
          </w:tcPr>
          <w:p>
            <w:pPr>
              <w:jc w:val="right"/>
              <w:ind w:right="50"/>
              <w:spacing w:after="0" w:line="189" w:lineRule="exact"/>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21"/>
        </w:trPr>
        <w:tc>
          <w:tcPr>
            <w:tcW w:w="58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Commodity contracts</w:t>
            </w:r>
          </w:p>
        </w:tc>
        <w:tc>
          <w:tcPr>
            <w:tcW w:w="100" w:type="dxa"/>
            <w:vAlign w:val="bottom"/>
            <w:tcBorders>
              <w:bottom w:val="single" w:sz="8" w:color="auto"/>
            </w:tcBorders>
            <w:shd w:val="clear" w:color="auto" w:fill="D9D9D9"/>
          </w:tcPr>
          <w:p>
            <w:pPr>
              <w:spacing w:after="0"/>
              <w:rPr>
                <w:sz w:val="19"/>
                <w:szCs w:val="19"/>
                <w:color w:val="auto"/>
              </w:rPr>
            </w:pPr>
          </w:p>
        </w:tc>
        <w:tc>
          <w:tcPr>
            <w:tcW w:w="1220" w:type="dxa"/>
            <w:vAlign w:val="bottom"/>
            <w:tcBorders>
              <w:bottom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(332)</w:t>
            </w:r>
          </w:p>
        </w:tc>
        <w:tc>
          <w:tcPr>
            <w:tcW w:w="132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8"/>
                <w:szCs w:val="18"/>
                <w:b w:val="1"/>
                <w:bCs w:val="1"/>
                <w:color w:val="auto"/>
              </w:rPr>
              <w:t>(46)</w:t>
            </w:r>
          </w:p>
        </w:tc>
        <w:tc>
          <w:tcPr>
            <w:tcW w:w="1480" w:type="dxa"/>
            <w:vAlign w:val="bottom"/>
            <w:tcBorders>
              <w:bottom w:val="single" w:sz="8" w:color="auto"/>
            </w:tcBorders>
            <w:shd w:val="clear" w:color="auto" w:fill="D9D9D9"/>
          </w:tcPr>
          <w:p>
            <w:pPr>
              <w:jc w:val="right"/>
              <w:ind w:right="170"/>
              <w:spacing w:after="0"/>
              <w:rPr>
                <w:sz w:val="20"/>
                <w:szCs w:val="20"/>
                <w:color w:val="auto"/>
              </w:rPr>
            </w:pPr>
            <w:r>
              <w:rPr>
                <w:rFonts w:ascii="Arial" w:cs="Arial" w:eastAsia="Arial" w:hAnsi="Arial"/>
                <w:sz w:val="18"/>
                <w:szCs w:val="18"/>
                <w:b w:val="1"/>
                <w:bCs w:val="1"/>
                <w:color w:val="auto"/>
              </w:rPr>
              <w:t>13</w:t>
            </w:r>
          </w:p>
        </w:tc>
        <w:tc>
          <w:tcPr>
            <w:tcW w:w="12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b w:val="1"/>
                <w:bCs w:val="1"/>
                <w:color w:val="auto"/>
              </w:rPr>
              <w:t>(365)</w:t>
            </w:r>
          </w:p>
        </w:tc>
        <w:tc>
          <w:tcPr>
            <w:tcW w:w="0" w:type="dxa"/>
            <w:vAlign w:val="bottom"/>
          </w:tcPr>
          <w:p>
            <w:pPr>
              <w:spacing w:after="0"/>
              <w:rPr>
                <w:sz w:val="1"/>
                <w:szCs w:val="1"/>
                <w:color w:val="auto"/>
              </w:rPr>
            </w:pPr>
          </w:p>
        </w:tc>
      </w:tr>
      <w:tr>
        <w:trPr>
          <w:trHeight w:val="183"/>
        </w:trPr>
        <w:tc>
          <w:tcPr>
            <w:tcW w:w="5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shd w:val="clear" w:color="auto" w:fill="D9D9D9"/>
          </w:tcPr>
          <w:p>
            <w:pPr>
              <w:spacing w:after="0"/>
              <w:rPr>
                <w:sz w:val="15"/>
                <w:szCs w:val="15"/>
                <w:color w:val="auto"/>
              </w:rPr>
            </w:pPr>
          </w:p>
        </w:tc>
        <w:tc>
          <w:tcPr>
            <w:tcW w:w="1220" w:type="dxa"/>
            <w:vAlign w:val="bottom"/>
            <w:tcBorders>
              <w:bottom w:val="single" w:sz="8" w:color="auto"/>
            </w:tcBorders>
            <w:shd w:val="clear" w:color="auto" w:fill="D9D9D9"/>
          </w:tcPr>
          <w:p>
            <w:pPr>
              <w:jc w:val="right"/>
              <w:ind w:right="30"/>
              <w:spacing w:after="0" w:line="182" w:lineRule="exact"/>
              <w:rPr>
                <w:sz w:val="20"/>
                <w:szCs w:val="20"/>
                <w:color w:val="auto"/>
              </w:rPr>
            </w:pPr>
            <w:r>
              <w:rPr>
                <w:rFonts w:ascii="Arial" w:cs="Arial" w:eastAsia="Arial" w:hAnsi="Arial"/>
                <w:sz w:val="18"/>
                <w:szCs w:val="18"/>
                <w:b w:val="1"/>
                <w:bCs w:val="1"/>
                <w:color w:val="auto"/>
              </w:rPr>
              <w:t>(332)</w:t>
            </w:r>
          </w:p>
        </w:tc>
        <w:tc>
          <w:tcPr>
            <w:tcW w:w="1320" w:type="dxa"/>
            <w:vAlign w:val="bottom"/>
            <w:tcBorders>
              <w:bottom w:val="single" w:sz="8" w:color="auto"/>
            </w:tcBorders>
            <w:gridSpan w:val="2"/>
            <w:shd w:val="clear" w:color="auto" w:fill="D9D9D9"/>
          </w:tcPr>
          <w:p>
            <w:pPr>
              <w:jc w:val="right"/>
              <w:spacing w:after="0" w:line="182" w:lineRule="exact"/>
              <w:rPr>
                <w:sz w:val="20"/>
                <w:szCs w:val="20"/>
                <w:color w:val="auto"/>
              </w:rPr>
            </w:pPr>
            <w:r>
              <w:rPr>
                <w:rFonts w:ascii="Arial" w:cs="Arial" w:eastAsia="Arial" w:hAnsi="Arial"/>
                <w:sz w:val="18"/>
                <w:szCs w:val="18"/>
                <w:b w:val="1"/>
                <w:bCs w:val="1"/>
                <w:color w:val="auto"/>
              </w:rPr>
              <w:t>(1,509)</w:t>
            </w:r>
          </w:p>
        </w:tc>
        <w:tc>
          <w:tcPr>
            <w:tcW w:w="1480" w:type="dxa"/>
            <w:vAlign w:val="bottom"/>
            <w:tcBorders>
              <w:bottom w:val="single" w:sz="8" w:color="auto"/>
            </w:tcBorders>
            <w:shd w:val="clear" w:color="auto" w:fill="D9D9D9"/>
          </w:tcPr>
          <w:p>
            <w:pPr>
              <w:jc w:val="right"/>
              <w:ind w:right="170"/>
              <w:spacing w:after="0" w:line="182" w:lineRule="exact"/>
              <w:rPr>
                <w:sz w:val="20"/>
                <w:szCs w:val="20"/>
                <w:color w:val="auto"/>
              </w:rPr>
            </w:pPr>
            <w:r>
              <w:rPr>
                <w:rFonts w:ascii="Arial" w:cs="Arial" w:eastAsia="Arial" w:hAnsi="Arial"/>
                <w:sz w:val="18"/>
                <w:szCs w:val="18"/>
                <w:b w:val="1"/>
                <w:bCs w:val="1"/>
                <w:color w:val="auto"/>
              </w:rPr>
              <w:t>13</w:t>
            </w:r>
          </w:p>
        </w:tc>
        <w:tc>
          <w:tcPr>
            <w:tcW w:w="1260" w:type="dxa"/>
            <w:vAlign w:val="bottom"/>
            <w:tcBorders>
              <w:bottom w:val="single" w:sz="8" w:color="auto"/>
            </w:tcBorders>
            <w:shd w:val="clear" w:color="auto" w:fill="D9D9D9"/>
          </w:tcPr>
          <w:p>
            <w:pPr>
              <w:jc w:val="right"/>
              <w:spacing w:after="0" w:line="182" w:lineRule="exact"/>
              <w:rPr>
                <w:sz w:val="20"/>
                <w:szCs w:val="20"/>
                <w:color w:val="auto"/>
              </w:rPr>
            </w:pPr>
            <w:r>
              <w:rPr>
                <w:rFonts w:ascii="Arial" w:cs="Arial" w:eastAsia="Arial" w:hAnsi="Arial"/>
                <w:sz w:val="18"/>
                <w:szCs w:val="18"/>
                <w:b w:val="1"/>
                <w:bCs w:val="1"/>
                <w:color w:val="auto"/>
              </w:rPr>
              <w:t>(1,828)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-993775</wp:posOffset>
            </wp:positionV>
            <wp:extent cx="3351530" cy="3771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Total Gross</w:t>
            </w:r>
          </w:p>
        </w:tc>
        <w:tc>
          <w:tcPr>
            <w:tcW w:w="0" w:type="dxa"/>
            <w:vAlign w:val="bottom"/>
          </w:tcPr>
          <w:p>
            <w:pPr>
              <w:spacing w:after="0"/>
              <w:rPr>
                <w:sz w:val="1"/>
                <w:szCs w:val="1"/>
                <w:color w:val="auto"/>
              </w:rPr>
            </w:pPr>
          </w:p>
        </w:tc>
      </w:tr>
      <w:tr>
        <w:trPr>
          <w:trHeight w:val="189"/>
        </w:trPr>
        <w:tc>
          <w:tcPr>
            <w:tcW w:w="4580" w:type="dxa"/>
            <w:vAlign w:val="bottom"/>
            <w:vMerge w:val="restart"/>
          </w:tcPr>
          <w:p>
            <w:pPr>
              <w:spacing w:after="0"/>
              <w:rPr>
                <w:sz w:val="20"/>
                <w:szCs w:val="20"/>
                <w:color w:val="auto"/>
              </w:rPr>
            </w:pPr>
            <w:r>
              <w:rPr>
                <w:rFonts w:ascii="Arial" w:cs="Arial" w:eastAsia="Arial" w:hAnsi="Arial"/>
                <w:sz w:val="18"/>
                <w:szCs w:val="18"/>
                <w:color w:val="auto"/>
              </w:rPr>
              <w:t>December 31, 2025</w:t>
            </w:r>
          </w:p>
        </w:tc>
        <w:tc>
          <w:tcPr>
            <w:tcW w:w="2880" w:type="dxa"/>
            <w:vAlign w:val="bottom"/>
            <w:vMerge w:val="restart"/>
          </w:tcPr>
          <w:p>
            <w:pPr>
              <w:jc w:val="right"/>
              <w:ind w:right="310"/>
              <w:spacing w:after="0"/>
              <w:rPr>
                <w:sz w:val="20"/>
                <w:szCs w:val="20"/>
                <w:color w:val="auto"/>
              </w:rPr>
            </w:pPr>
            <w:r>
              <w:rPr>
                <w:rFonts w:ascii="Arial" w:cs="Arial" w:eastAsia="Arial" w:hAnsi="Arial"/>
                <w:sz w:val="18"/>
                <w:szCs w:val="18"/>
                <w:color w:val="auto"/>
              </w:rPr>
              <w:t>Level 1</w:t>
            </w:r>
          </w:p>
        </w:tc>
        <w:tc>
          <w:tcPr>
            <w:tcW w:w="1340" w:type="dxa"/>
            <w:vAlign w:val="bottom"/>
            <w:vMerge w:val="restart"/>
          </w:tcPr>
          <w:p>
            <w:pPr>
              <w:jc w:val="right"/>
              <w:ind w:right="330"/>
              <w:spacing w:after="0"/>
              <w:rPr>
                <w:sz w:val="20"/>
                <w:szCs w:val="20"/>
                <w:color w:val="auto"/>
              </w:rPr>
            </w:pPr>
            <w:r>
              <w:rPr>
                <w:rFonts w:ascii="Arial" w:cs="Arial" w:eastAsia="Arial" w:hAnsi="Arial"/>
                <w:sz w:val="18"/>
                <w:szCs w:val="18"/>
                <w:color w:val="auto"/>
              </w:rPr>
              <w:t>Level 2</w:t>
            </w:r>
          </w:p>
        </w:tc>
        <w:tc>
          <w:tcPr>
            <w:tcW w:w="1180" w:type="dxa"/>
            <w:vAlign w:val="bottom"/>
            <w:vMerge w:val="restart"/>
          </w:tcPr>
          <w:p>
            <w:pPr>
              <w:jc w:val="right"/>
              <w:ind w:right="170"/>
              <w:spacing w:after="0"/>
              <w:rPr>
                <w:sz w:val="20"/>
                <w:szCs w:val="20"/>
                <w:color w:val="auto"/>
              </w:rPr>
            </w:pPr>
            <w:r>
              <w:rPr>
                <w:rFonts w:ascii="Arial" w:cs="Arial" w:eastAsia="Arial" w:hAnsi="Arial"/>
                <w:sz w:val="18"/>
                <w:szCs w:val="18"/>
                <w:color w:val="auto"/>
              </w:rPr>
              <w:t>Level 3</w:t>
            </w:r>
          </w:p>
        </w:tc>
        <w:tc>
          <w:tcPr>
            <w:tcW w:w="1260" w:type="dxa"/>
            <w:vAlign w:val="bottom"/>
          </w:tcPr>
          <w:p>
            <w:pPr>
              <w:jc w:val="right"/>
              <w:ind w:right="50"/>
              <w:spacing w:after="0" w:line="189" w:lineRule="exact"/>
              <w:rPr>
                <w:sz w:val="20"/>
                <w:szCs w:val="20"/>
                <w:color w:val="auto"/>
              </w:rPr>
            </w:pPr>
            <w:r>
              <w:rPr>
                <w:rFonts w:ascii="Arial" w:cs="Arial" w:eastAsia="Arial" w:hAnsi="Arial"/>
                <w:sz w:val="18"/>
                <w:szCs w:val="18"/>
                <w:color w:val="auto"/>
              </w:rPr>
              <w:t>Derivative</w:t>
            </w:r>
          </w:p>
        </w:tc>
        <w:tc>
          <w:tcPr>
            <w:tcW w:w="0" w:type="dxa"/>
            <w:vAlign w:val="bottom"/>
          </w:tcPr>
          <w:p>
            <w:pPr>
              <w:spacing w:after="0"/>
              <w:rPr>
                <w:sz w:val="1"/>
                <w:szCs w:val="1"/>
                <w:color w:val="auto"/>
              </w:rPr>
            </w:pPr>
          </w:p>
        </w:tc>
      </w:tr>
      <w:tr>
        <w:trPr>
          <w:trHeight w:val="221"/>
        </w:trPr>
        <w:tc>
          <w:tcPr>
            <w:tcW w:w="4580" w:type="dxa"/>
            <w:vAlign w:val="bottom"/>
            <w:tcBorders>
              <w:bottom w:val="single" w:sz="8" w:color="auto"/>
            </w:tcBorders>
            <w:vMerge w:val="continue"/>
          </w:tcPr>
          <w:p>
            <w:pPr>
              <w:spacing w:after="0"/>
              <w:rPr>
                <w:sz w:val="19"/>
                <w:szCs w:val="19"/>
                <w:color w:val="auto"/>
              </w:rPr>
            </w:pPr>
          </w:p>
        </w:tc>
        <w:tc>
          <w:tcPr>
            <w:tcW w:w="288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Instruments</w:t>
            </w:r>
          </w:p>
        </w:tc>
        <w:tc>
          <w:tcPr>
            <w:tcW w:w="0" w:type="dxa"/>
            <w:vAlign w:val="bottom"/>
          </w:tcPr>
          <w:p>
            <w:pPr>
              <w:spacing w:after="0"/>
              <w:rPr>
                <w:sz w:val="1"/>
                <w:szCs w:val="1"/>
                <w:color w:val="auto"/>
              </w:rPr>
            </w:pPr>
          </w:p>
        </w:tc>
      </w:tr>
      <w:tr>
        <w:trPr>
          <w:trHeight w:val="115"/>
        </w:trPr>
        <w:tc>
          <w:tcPr>
            <w:tcW w:w="458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2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580" w:type="dxa"/>
            <w:vAlign w:val="bottom"/>
          </w:tcPr>
          <w:p>
            <w:pPr>
              <w:spacing w:after="0" w:line="183" w:lineRule="exact"/>
              <w:rPr>
                <w:sz w:val="20"/>
                <w:szCs w:val="20"/>
                <w:color w:val="auto"/>
              </w:rPr>
            </w:pPr>
            <w:r>
              <w:rPr>
                <w:rFonts w:ascii="Arial" w:cs="Arial" w:eastAsia="Arial" w:hAnsi="Arial"/>
                <w:sz w:val="18"/>
                <w:szCs w:val="18"/>
                <w:color w:val="auto"/>
              </w:rPr>
              <w:t>Financial assets</w:t>
            </w:r>
          </w:p>
        </w:tc>
        <w:tc>
          <w:tcPr>
            <w:tcW w:w="2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80"/>
              <w:spacing w:after="0" w:line="189" w:lineRule="exact"/>
              <w:rPr>
                <w:sz w:val="20"/>
                <w:szCs w:val="20"/>
                <w:color w:val="auto"/>
              </w:rPr>
            </w:pPr>
            <w:r>
              <w:rPr>
                <w:rFonts w:ascii="Arial" w:cs="Arial" w:eastAsia="Arial" w:hAnsi="Arial"/>
                <w:sz w:val="18"/>
                <w:szCs w:val="18"/>
                <w:color w:val="auto"/>
              </w:rPr>
              <w:t>Current derivative assets</w:t>
            </w:r>
          </w:p>
        </w:tc>
        <w:tc>
          <w:tcPr>
            <w:tcW w:w="28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30"/>
              <w:spacing w:after="0"/>
              <w:rPr>
                <w:sz w:val="20"/>
                <w:szCs w:val="20"/>
                <w:color w:val="auto"/>
              </w:rPr>
            </w:pPr>
            <w:r>
              <w:rPr>
                <w:rFonts w:ascii="Arial" w:cs="Arial" w:eastAsia="Arial" w:hAnsi="Arial"/>
                <w:sz w:val="18"/>
                <w:szCs w:val="18"/>
                <w:color w:val="auto"/>
              </w:rPr>
              <w:t>27</w:t>
            </w:r>
          </w:p>
        </w:tc>
        <w:tc>
          <w:tcPr>
            <w:tcW w:w="118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ind w:right="5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9"/>
        </w:trPr>
        <w:tc>
          <w:tcPr>
            <w:tcW w:w="4580" w:type="dxa"/>
            <w:vAlign w:val="bottom"/>
          </w:tcPr>
          <w:p>
            <w:pPr>
              <w:ind w:left="160"/>
              <w:spacing w:after="0" w:line="189" w:lineRule="exact"/>
              <w:rPr>
                <w:sz w:val="20"/>
                <w:szCs w:val="20"/>
                <w:color w:val="auto"/>
              </w:rPr>
            </w:pPr>
            <w:r>
              <w:rPr>
                <w:rFonts w:ascii="Arial" w:cs="Arial" w:eastAsia="Arial" w:hAnsi="Arial"/>
                <w:sz w:val="18"/>
                <w:szCs w:val="18"/>
                <w:color w:val="auto"/>
              </w:rPr>
              <w:t>Foreign exchange contracts</w:t>
            </w:r>
          </w:p>
        </w:tc>
        <w:tc>
          <w:tcPr>
            <w:tcW w:w="28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160"/>
              <w:spacing w:after="0" w:line="189" w:lineRule="exact"/>
              <w:rPr>
                <w:sz w:val="20"/>
                <w:szCs w:val="20"/>
                <w:color w:val="auto"/>
              </w:rPr>
            </w:pPr>
            <w:r>
              <w:rPr>
                <w:rFonts w:ascii="Arial" w:cs="Arial" w:eastAsia="Arial" w:hAnsi="Arial"/>
                <w:sz w:val="18"/>
                <w:szCs w:val="18"/>
                <w:color w:val="auto"/>
              </w:rPr>
              <w:t>Interest rate contracts</w:t>
            </w:r>
          </w:p>
        </w:tc>
        <w:tc>
          <w:tcPr>
            <w:tcW w:w="288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330"/>
              <w:spacing w:after="0" w:line="189" w:lineRule="exact"/>
              <w:rPr>
                <w:sz w:val="20"/>
                <w:szCs w:val="20"/>
                <w:color w:val="auto"/>
              </w:rPr>
            </w:pPr>
            <w:r>
              <w:rPr>
                <w:rFonts w:ascii="Arial" w:cs="Arial" w:eastAsia="Arial" w:hAnsi="Arial"/>
                <w:sz w:val="18"/>
                <w:szCs w:val="18"/>
                <w:color w:val="auto"/>
              </w:rPr>
              <w:t>106</w:t>
            </w:r>
          </w:p>
        </w:tc>
        <w:tc>
          <w:tcPr>
            <w:tcW w:w="118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line="189"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1"/>
        </w:trPr>
        <w:tc>
          <w:tcPr>
            <w:tcW w:w="4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Commodity contracts</w:t>
            </w:r>
          </w:p>
        </w:tc>
        <w:tc>
          <w:tcPr>
            <w:tcW w:w="2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70</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59</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329</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183"/>
        </w:trPr>
        <w:tc>
          <w:tcPr>
            <w:tcW w:w="45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70</w:t>
            </w:r>
          </w:p>
        </w:tc>
        <w:tc>
          <w:tcPr>
            <w:tcW w:w="1340" w:type="dxa"/>
            <w:vAlign w:val="bottom"/>
            <w:tcBorders>
              <w:bottom w:val="single" w:sz="8" w:color="auto"/>
            </w:tcBorders>
          </w:tcPr>
          <w:p>
            <w:pPr>
              <w:jc w:val="right"/>
              <w:ind w:right="330"/>
              <w:spacing w:after="0" w:line="182" w:lineRule="exact"/>
              <w:rPr>
                <w:sz w:val="20"/>
                <w:szCs w:val="20"/>
                <w:color w:val="auto"/>
              </w:rPr>
            </w:pPr>
            <w:r>
              <w:rPr>
                <w:rFonts w:ascii="Arial" w:cs="Arial" w:eastAsia="Arial" w:hAnsi="Arial"/>
                <w:sz w:val="18"/>
                <w:szCs w:val="18"/>
                <w:color w:val="auto"/>
              </w:rPr>
              <w:t>192</w:t>
            </w:r>
          </w:p>
        </w:tc>
        <w:tc>
          <w:tcPr>
            <w:tcW w:w="118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329</w:t>
            </w:r>
          </w:p>
        </w:tc>
        <w:tc>
          <w:tcPr>
            <w:tcW w:w="126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150"/>
        </w:trPr>
        <w:tc>
          <w:tcPr>
            <w:tcW w:w="4580" w:type="dxa"/>
            <w:vAlign w:val="bottom"/>
          </w:tcPr>
          <w:p>
            <w:pPr>
              <w:ind w:left="80"/>
              <w:spacing w:after="0" w:line="150" w:lineRule="exact"/>
              <w:rPr>
                <w:sz w:val="20"/>
                <w:szCs w:val="20"/>
                <w:color w:val="auto"/>
              </w:rPr>
            </w:pPr>
            <w:r>
              <w:rPr>
                <w:rFonts w:ascii="Arial" w:cs="Arial" w:eastAsia="Arial" w:hAnsi="Arial"/>
                <w:sz w:val="17"/>
                <w:szCs w:val="17"/>
                <w:color w:val="auto"/>
              </w:rPr>
              <w:t>Long-term derivative assets</w:t>
            </w:r>
          </w:p>
        </w:tc>
        <w:tc>
          <w:tcPr>
            <w:tcW w:w="28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30"/>
              <w:spacing w:after="0"/>
              <w:rPr>
                <w:sz w:val="20"/>
                <w:szCs w:val="20"/>
                <w:color w:val="auto"/>
              </w:rPr>
            </w:pPr>
            <w:r>
              <w:rPr>
                <w:rFonts w:ascii="Arial" w:cs="Arial" w:eastAsia="Arial" w:hAnsi="Arial"/>
                <w:sz w:val="18"/>
                <w:szCs w:val="18"/>
                <w:color w:val="auto"/>
              </w:rPr>
              <w:t>52</w:t>
            </w:r>
          </w:p>
        </w:tc>
        <w:tc>
          <w:tcPr>
            <w:tcW w:w="118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ind w:right="5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9"/>
        </w:trPr>
        <w:tc>
          <w:tcPr>
            <w:tcW w:w="4580" w:type="dxa"/>
            <w:vAlign w:val="bottom"/>
          </w:tcPr>
          <w:p>
            <w:pPr>
              <w:ind w:left="160"/>
              <w:spacing w:after="0" w:line="189" w:lineRule="exact"/>
              <w:rPr>
                <w:sz w:val="20"/>
                <w:szCs w:val="20"/>
                <w:color w:val="auto"/>
              </w:rPr>
            </w:pPr>
            <w:r>
              <w:rPr>
                <w:rFonts w:ascii="Arial" w:cs="Arial" w:eastAsia="Arial" w:hAnsi="Arial"/>
                <w:sz w:val="18"/>
                <w:szCs w:val="18"/>
                <w:color w:val="auto"/>
              </w:rPr>
              <w:t>Foreign exchange contracts</w:t>
            </w:r>
          </w:p>
        </w:tc>
        <w:tc>
          <w:tcPr>
            <w:tcW w:w="28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160"/>
              <w:spacing w:after="0" w:line="189" w:lineRule="exact"/>
              <w:rPr>
                <w:sz w:val="20"/>
                <w:szCs w:val="20"/>
                <w:color w:val="auto"/>
              </w:rPr>
            </w:pPr>
            <w:r>
              <w:rPr>
                <w:rFonts w:ascii="Arial" w:cs="Arial" w:eastAsia="Arial" w:hAnsi="Arial"/>
                <w:sz w:val="18"/>
                <w:szCs w:val="18"/>
                <w:color w:val="auto"/>
              </w:rPr>
              <w:t>Interest rate contracts</w:t>
            </w:r>
          </w:p>
        </w:tc>
        <w:tc>
          <w:tcPr>
            <w:tcW w:w="288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330"/>
              <w:spacing w:after="0" w:line="189" w:lineRule="exact"/>
              <w:rPr>
                <w:sz w:val="20"/>
                <w:szCs w:val="20"/>
                <w:color w:val="auto"/>
              </w:rPr>
            </w:pPr>
            <w:r>
              <w:rPr>
                <w:rFonts w:ascii="Arial" w:cs="Arial" w:eastAsia="Arial" w:hAnsi="Arial"/>
                <w:sz w:val="18"/>
                <w:szCs w:val="18"/>
                <w:color w:val="auto"/>
              </w:rPr>
              <w:t>117</w:t>
            </w:r>
          </w:p>
        </w:tc>
        <w:tc>
          <w:tcPr>
            <w:tcW w:w="118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line="189"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1"/>
        </w:trPr>
        <w:tc>
          <w:tcPr>
            <w:tcW w:w="4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Commodity contracts</w:t>
            </w:r>
          </w:p>
        </w:tc>
        <w:tc>
          <w:tcPr>
            <w:tcW w:w="2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117</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83"/>
        </w:trPr>
        <w:tc>
          <w:tcPr>
            <w:tcW w:w="45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30"/>
              <w:spacing w:after="0" w:line="182" w:lineRule="exact"/>
              <w:rPr>
                <w:sz w:val="20"/>
                <w:szCs w:val="20"/>
                <w:color w:val="auto"/>
              </w:rPr>
            </w:pPr>
            <w:r>
              <w:rPr>
                <w:rFonts w:ascii="Arial" w:cs="Arial" w:eastAsia="Arial" w:hAnsi="Arial"/>
                <w:sz w:val="18"/>
                <w:szCs w:val="18"/>
                <w:color w:val="auto"/>
              </w:rPr>
              <w:t>176</w:t>
            </w:r>
          </w:p>
        </w:tc>
        <w:tc>
          <w:tcPr>
            <w:tcW w:w="118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117</w:t>
            </w:r>
          </w:p>
        </w:tc>
        <w:tc>
          <w:tcPr>
            <w:tcW w:w="126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150"/>
        </w:trPr>
        <w:tc>
          <w:tcPr>
            <w:tcW w:w="4580" w:type="dxa"/>
            <w:vAlign w:val="bottom"/>
          </w:tcPr>
          <w:p>
            <w:pPr>
              <w:spacing w:after="0" w:line="150" w:lineRule="exact"/>
              <w:rPr>
                <w:sz w:val="20"/>
                <w:szCs w:val="20"/>
                <w:color w:val="auto"/>
              </w:rPr>
            </w:pPr>
            <w:r>
              <w:rPr>
                <w:rFonts w:ascii="Arial" w:cs="Arial" w:eastAsia="Arial" w:hAnsi="Arial"/>
                <w:sz w:val="17"/>
                <w:szCs w:val="17"/>
                <w:color w:val="auto"/>
              </w:rPr>
              <w:t>Financial liabilities</w:t>
            </w:r>
          </w:p>
        </w:tc>
        <w:tc>
          <w:tcPr>
            <w:tcW w:w="2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80"/>
              <w:spacing w:after="0" w:line="189" w:lineRule="exact"/>
              <w:rPr>
                <w:sz w:val="20"/>
                <w:szCs w:val="20"/>
                <w:color w:val="auto"/>
              </w:rPr>
            </w:pPr>
            <w:r>
              <w:rPr>
                <w:rFonts w:ascii="Arial" w:cs="Arial" w:eastAsia="Arial" w:hAnsi="Arial"/>
                <w:sz w:val="18"/>
                <w:szCs w:val="18"/>
                <w:color w:val="auto"/>
              </w:rPr>
              <w:t>Current derivative liabilities</w:t>
            </w:r>
          </w:p>
        </w:tc>
        <w:tc>
          <w:tcPr>
            <w:tcW w:w="28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250"/>
              <w:spacing w:after="0"/>
              <w:rPr>
                <w:sz w:val="20"/>
                <w:szCs w:val="20"/>
                <w:color w:val="auto"/>
              </w:rPr>
            </w:pPr>
            <w:r>
              <w:rPr>
                <w:rFonts w:ascii="Arial" w:cs="Arial" w:eastAsia="Arial" w:hAnsi="Arial"/>
                <w:sz w:val="18"/>
                <w:szCs w:val="18"/>
                <w:color w:val="auto"/>
              </w:rPr>
              <w:t>(364)</w:t>
            </w:r>
          </w:p>
        </w:tc>
        <w:tc>
          <w:tcPr>
            <w:tcW w:w="118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89"/>
        </w:trPr>
        <w:tc>
          <w:tcPr>
            <w:tcW w:w="4580" w:type="dxa"/>
            <w:vAlign w:val="bottom"/>
          </w:tcPr>
          <w:p>
            <w:pPr>
              <w:ind w:left="160"/>
              <w:spacing w:after="0" w:line="189" w:lineRule="exact"/>
              <w:rPr>
                <w:sz w:val="20"/>
                <w:szCs w:val="20"/>
                <w:color w:val="auto"/>
              </w:rPr>
            </w:pPr>
            <w:r>
              <w:rPr>
                <w:rFonts w:ascii="Arial" w:cs="Arial" w:eastAsia="Arial" w:hAnsi="Arial"/>
                <w:sz w:val="18"/>
                <w:szCs w:val="18"/>
                <w:color w:val="auto"/>
              </w:rPr>
              <w:t>Foreign exchange contracts</w:t>
            </w:r>
          </w:p>
        </w:tc>
        <w:tc>
          <w:tcPr>
            <w:tcW w:w="28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160"/>
              <w:spacing w:after="0" w:line="189" w:lineRule="exact"/>
              <w:rPr>
                <w:sz w:val="20"/>
                <w:szCs w:val="20"/>
                <w:color w:val="auto"/>
              </w:rPr>
            </w:pPr>
            <w:r>
              <w:rPr>
                <w:rFonts w:ascii="Arial" w:cs="Arial" w:eastAsia="Arial" w:hAnsi="Arial"/>
                <w:sz w:val="18"/>
                <w:szCs w:val="18"/>
                <w:color w:val="auto"/>
              </w:rPr>
              <w:t>Interest rate contracts</w:t>
            </w:r>
          </w:p>
        </w:tc>
        <w:tc>
          <w:tcPr>
            <w:tcW w:w="288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50"/>
              <w:spacing w:after="0" w:line="189" w:lineRule="exact"/>
              <w:rPr>
                <w:sz w:val="20"/>
                <w:szCs w:val="20"/>
                <w:color w:val="auto"/>
              </w:rPr>
            </w:pPr>
            <w:r>
              <w:rPr>
                <w:rFonts w:ascii="Arial" w:cs="Arial" w:eastAsia="Arial" w:hAnsi="Arial"/>
                <w:sz w:val="18"/>
                <w:szCs w:val="18"/>
                <w:color w:val="auto"/>
              </w:rPr>
              <w:t>(48)</w:t>
            </w:r>
          </w:p>
        </w:tc>
        <w:tc>
          <w:tcPr>
            <w:tcW w:w="118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1"/>
        </w:trPr>
        <w:tc>
          <w:tcPr>
            <w:tcW w:w="4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Commodity contracts</w:t>
            </w:r>
          </w:p>
        </w:tc>
        <w:tc>
          <w:tcPr>
            <w:tcW w:w="2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(55)</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(68)</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83"/>
        </w:trPr>
        <w:tc>
          <w:tcPr>
            <w:tcW w:w="45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(55)</w:t>
            </w:r>
          </w:p>
        </w:tc>
        <w:tc>
          <w:tcPr>
            <w:tcW w:w="134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(480)</w:t>
            </w:r>
          </w:p>
        </w:tc>
        <w:tc>
          <w:tcPr>
            <w:tcW w:w="118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(177)</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150"/>
        </w:trPr>
        <w:tc>
          <w:tcPr>
            <w:tcW w:w="4580" w:type="dxa"/>
            <w:vAlign w:val="bottom"/>
          </w:tcPr>
          <w:p>
            <w:pPr>
              <w:ind w:left="80"/>
              <w:spacing w:after="0" w:line="150" w:lineRule="exact"/>
              <w:rPr>
                <w:sz w:val="20"/>
                <w:szCs w:val="20"/>
                <w:color w:val="auto"/>
              </w:rPr>
            </w:pPr>
            <w:r>
              <w:rPr>
                <w:rFonts w:ascii="Arial" w:cs="Arial" w:eastAsia="Arial" w:hAnsi="Arial"/>
                <w:sz w:val="17"/>
                <w:szCs w:val="17"/>
                <w:color w:val="auto"/>
              </w:rPr>
              <w:t>Long-term derivative liabilities</w:t>
            </w:r>
          </w:p>
        </w:tc>
        <w:tc>
          <w:tcPr>
            <w:tcW w:w="28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250"/>
              <w:spacing w:after="0"/>
              <w:rPr>
                <w:sz w:val="20"/>
                <w:szCs w:val="20"/>
                <w:color w:val="auto"/>
              </w:rPr>
            </w:pPr>
            <w:r>
              <w:rPr>
                <w:rFonts w:ascii="Arial" w:cs="Arial" w:eastAsia="Arial" w:hAnsi="Arial"/>
                <w:sz w:val="18"/>
                <w:szCs w:val="18"/>
                <w:color w:val="auto"/>
              </w:rPr>
              <w:t>(819)</w:t>
            </w:r>
          </w:p>
        </w:tc>
        <w:tc>
          <w:tcPr>
            <w:tcW w:w="118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189"/>
        </w:trPr>
        <w:tc>
          <w:tcPr>
            <w:tcW w:w="4580" w:type="dxa"/>
            <w:vAlign w:val="bottom"/>
          </w:tcPr>
          <w:p>
            <w:pPr>
              <w:ind w:left="160"/>
              <w:spacing w:after="0" w:line="189" w:lineRule="exact"/>
              <w:rPr>
                <w:sz w:val="20"/>
                <w:szCs w:val="20"/>
                <w:color w:val="auto"/>
              </w:rPr>
            </w:pPr>
            <w:r>
              <w:rPr>
                <w:rFonts w:ascii="Arial" w:cs="Arial" w:eastAsia="Arial" w:hAnsi="Arial"/>
                <w:sz w:val="18"/>
                <w:szCs w:val="18"/>
                <w:color w:val="auto"/>
              </w:rPr>
              <w:t>Foreign exchange contracts</w:t>
            </w:r>
          </w:p>
        </w:tc>
        <w:tc>
          <w:tcPr>
            <w:tcW w:w="28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160"/>
              <w:spacing w:after="0" w:line="189" w:lineRule="exact"/>
              <w:rPr>
                <w:sz w:val="20"/>
                <w:szCs w:val="20"/>
                <w:color w:val="auto"/>
              </w:rPr>
            </w:pPr>
            <w:r>
              <w:rPr>
                <w:rFonts w:ascii="Arial" w:cs="Arial" w:eastAsia="Arial" w:hAnsi="Arial"/>
                <w:sz w:val="18"/>
                <w:szCs w:val="18"/>
                <w:color w:val="auto"/>
              </w:rPr>
              <w:t>Interest rate contracts</w:t>
            </w:r>
          </w:p>
        </w:tc>
        <w:tc>
          <w:tcPr>
            <w:tcW w:w="288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50"/>
              <w:spacing w:after="0" w:line="189" w:lineRule="exact"/>
              <w:rPr>
                <w:sz w:val="20"/>
                <w:szCs w:val="20"/>
                <w:color w:val="auto"/>
              </w:rPr>
            </w:pPr>
            <w:r>
              <w:rPr>
                <w:rFonts w:ascii="Arial" w:cs="Arial" w:eastAsia="Arial" w:hAnsi="Arial"/>
                <w:sz w:val="18"/>
                <w:szCs w:val="18"/>
                <w:color w:val="auto"/>
              </w:rPr>
              <w:t>(84)</w:t>
            </w:r>
          </w:p>
        </w:tc>
        <w:tc>
          <w:tcPr>
            <w:tcW w:w="118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1"/>
        </w:trPr>
        <w:tc>
          <w:tcPr>
            <w:tcW w:w="4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Commodity contracts</w:t>
            </w:r>
          </w:p>
        </w:tc>
        <w:tc>
          <w:tcPr>
            <w:tcW w:w="2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83"/>
        </w:trPr>
        <w:tc>
          <w:tcPr>
            <w:tcW w:w="45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(914)</w:t>
            </w:r>
          </w:p>
        </w:tc>
        <w:tc>
          <w:tcPr>
            <w:tcW w:w="118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(81)</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150"/>
        </w:trPr>
        <w:tc>
          <w:tcPr>
            <w:tcW w:w="4580" w:type="dxa"/>
            <w:vAlign w:val="bottom"/>
          </w:tcPr>
          <w:p>
            <w:pPr>
              <w:ind w:left="80"/>
              <w:spacing w:after="0" w:line="150" w:lineRule="exact"/>
              <w:rPr>
                <w:sz w:val="20"/>
                <w:szCs w:val="20"/>
                <w:color w:val="auto"/>
              </w:rPr>
            </w:pPr>
            <w:r>
              <w:rPr>
                <w:rFonts w:ascii="Arial" w:cs="Arial" w:eastAsia="Arial" w:hAnsi="Arial"/>
                <w:sz w:val="17"/>
                <w:szCs w:val="17"/>
                <w:color w:val="auto"/>
              </w:rPr>
              <w:t>Total net financial asset/(liability)</w:t>
            </w:r>
          </w:p>
        </w:tc>
        <w:tc>
          <w:tcPr>
            <w:tcW w:w="28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250"/>
              <w:spacing w:after="0"/>
              <w:rPr>
                <w:sz w:val="20"/>
                <w:szCs w:val="20"/>
                <w:color w:val="auto"/>
              </w:rPr>
            </w:pPr>
            <w:r>
              <w:rPr>
                <w:rFonts w:ascii="Arial" w:cs="Arial" w:eastAsia="Arial" w:hAnsi="Arial"/>
                <w:sz w:val="18"/>
                <w:szCs w:val="18"/>
                <w:color w:val="auto"/>
              </w:rPr>
              <w:t>(1,104)</w:t>
            </w:r>
          </w:p>
        </w:tc>
        <w:tc>
          <w:tcPr>
            <w:tcW w:w="118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189"/>
        </w:trPr>
        <w:tc>
          <w:tcPr>
            <w:tcW w:w="4580" w:type="dxa"/>
            <w:vAlign w:val="bottom"/>
          </w:tcPr>
          <w:p>
            <w:pPr>
              <w:ind w:left="160"/>
              <w:spacing w:after="0" w:line="189" w:lineRule="exact"/>
              <w:rPr>
                <w:sz w:val="20"/>
                <w:szCs w:val="20"/>
                <w:color w:val="auto"/>
              </w:rPr>
            </w:pPr>
            <w:r>
              <w:rPr>
                <w:rFonts w:ascii="Arial" w:cs="Arial" w:eastAsia="Arial" w:hAnsi="Arial"/>
                <w:sz w:val="18"/>
                <w:szCs w:val="18"/>
                <w:color w:val="auto"/>
              </w:rPr>
              <w:t>Foreign exchange contracts</w:t>
            </w:r>
          </w:p>
        </w:tc>
        <w:tc>
          <w:tcPr>
            <w:tcW w:w="28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160"/>
              <w:spacing w:after="0" w:line="189" w:lineRule="exact"/>
              <w:rPr>
                <w:sz w:val="20"/>
                <w:szCs w:val="20"/>
                <w:color w:val="auto"/>
              </w:rPr>
            </w:pPr>
            <w:r>
              <w:rPr>
                <w:rFonts w:ascii="Arial" w:cs="Arial" w:eastAsia="Arial" w:hAnsi="Arial"/>
                <w:sz w:val="18"/>
                <w:szCs w:val="18"/>
                <w:color w:val="auto"/>
              </w:rPr>
              <w:t>Interest rate contracts</w:t>
            </w:r>
          </w:p>
        </w:tc>
        <w:tc>
          <w:tcPr>
            <w:tcW w:w="288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330"/>
              <w:spacing w:after="0" w:line="189" w:lineRule="exact"/>
              <w:rPr>
                <w:sz w:val="20"/>
                <w:szCs w:val="20"/>
                <w:color w:val="auto"/>
              </w:rPr>
            </w:pPr>
            <w:r>
              <w:rPr>
                <w:rFonts w:ascii="Arial" w:cs="Arial" w:eastAsia="Arial" w:hAnsi="Arial"/>
                <w:sz w:val="18"/>
                <w:szCs w:val="18"/>
                <w:color w:val="auto"/>
              </w:rPr>
              <w:t>91</w:t>
            </w:r>
          </w:p>
        </w:tc>
        <w:tc>
          <w:tcPr>
            <w:tcW w:w="118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line="189"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1"/>
        </w:trPr>
        <w:tc>
          <w:tcPr>
            <w:tcW w:w="4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Commodity contracts</w:t>
            </w:r>
          </w:p>
        </w:tc>
        <w:tc>
          <w:tcPr>
            <w:tcW w:w="2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15</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188</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83"/>
        </w:trPr>
        <w:tc>
          <w:tcPr>
            <w:tcW w:w="45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15</w:t>
            </w:r>
          </w:p>
        </w:tc>
        <w:tc>
          <w:tcPr>
            <w:tcW w:w="134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(1,026)</w:t>
            </w:r>
          </w:p>
        </w:tc>
        <w:tc>
          <w:tcPr>
            <w:tcW w:w="118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188</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unobservable inputs used in the fair value measurement of Level 3 derivative instruments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Minimum</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Maximum</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Weighted</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March 31, 2026</w:t>
            </w:r>
          </w:p>
        </w:tc>
        <w:tc>
          <w:tcPr>
            <w:tcW w:w="120" w:type="dxa"/>
            <w:vAlign w:val="bottom"/>
          </w:tcPr>
          <w:p>
            <w:pPr>
              <w:spacing w:after="0"/>
              <w:rPr>
                <w:sz w:val="13"/>
                <w:szCs w:val="13"/>
                <w:color w:val="auto"/>
              </w:rPr>
            </w:pPr>
          </w:p>
        </w:tc>
        <w:tc>
          <w:tcPr>
            <w:tcW w:w="6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Fair</w:t>
            </w:r>
          </w:p>
        </w:tc>
        <w:tc>
          <w:tcPr>
            <w:tcW w:w="2100" w:type="dxa"/>
            <w:vAlign w:val="bottom"/>
          </w:tcPr>
          <w:p>
            <w:pPr>
              <w:jc w:val="right"/>
              <w:spacing w:after="0" w:line="158" w:lineRule="exact"/>
              <w:rPr>
                <w:sz w:val="20"/>
                <w:szCs w:val="20"/>
                <w:color w:val="auto"/>
              </w:rPr>
            </w:pPr>
            <w:r>
              <w:rPr>
                <w:rFonts w:ascii="Arial" w:cs="Arial" w:eastAsia="Arial" w:hAnsi="Arial"/>
                <w:sz w:val="14"/>
                <w:szCs w:val="14"/>
                <w:color w:val="auto"/>
              </w:rPr>
              <w:t>Unobservable</w:t>
            </w:r>
          </w:p>
        </w:tc>
        <w:tc>
          <w:tcPr>
            <w:tcW w:w="120" w:type="dxa"/>
            <w:vAlign w:val="bottom"/>
          </w:tcPr>
          <w:p>
            <w:pPr>
              <w:spacing w:after="0"/>
              <w:rPr>
                <w:sz w:val="13"/>
                <w:szCs w:val="13"/>
                <w:color w:val="auto"/>
              </w:rPr>
            </w:pPr>
          </w:p>
        </w:tc>
        <w:tc>
          <w:tcPr>
            <w:tcW w:w="780" w:type="dxa"/>
            <w:vAlign w:val="bottom"/>
          </w:tcPr>
          <w:p>
            <w:pPr>
              <w:jc w:val="right"/>
              <w:spacing w:after="0" w:line="158" w:lineRule="exact"/>
              <w:rPr>
                <w:sz w:val="20"/>
                <w:szCs w:val="20"/>
                <w:color w:val="auto"/>
              </w:rPr>
            </w:pPr>
            <w:r>
              <w:rPr>
                <w:rFonts w:ascii="Arial" w:cs="Arial" w:eastAsia="Arial" w:hAnsi="Arial"/>
                <w:sz w:val="14"/>
                <w:szCs w:val="14"/>
                <w:color w:val="auto"/>
              </w:rPr>
              <w:t>Price/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Arial" w:cs="Arial" w:eastAsia="Arial" w:hAnsi="Arial"/>
                <w:sz w:val="14"/>
                <w:szCs w:val="14"/>
                <w:color w:val="auto"/>
              </w:rPr>
              <w:t>Price/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Arial" w:cs="Arial" w:eastAsia="Arial" w:hAnsi="Arial"/>
                <w:sz w:val="14"/>
                <w:szCs w:val="14"/>
                <w:color w:val="auto"/>
              </w:rPr>
              <w:t>Average</w:t>
            </w:r>
          </w:p>
        </w:tc>
        <w:tc>
          <w:tcPr>
            <w:tcW w:w="120" w:type="dxa"/>
            <w:vAlign w:val="bottom"/>
          </w:tcPr>
          <w:p>
            <w:pPr>
              <w:spacing w:after="0"/>
              <w:rPr>
                <w:sz w:val="13"/>
                <w:szCs w:val="13"/>
                <w:color w:val="auto"/>
              </w:rPr>
            </w:pPr>
          </w:p>
        </w:tc>
        <w:tc>
          <w:tcPr>
            <w:tcW w:w="1220" w:type="dxa"/>
            <w:vAlign w:val="bottom"/>
          </w:tcPr>
          <w:p>
            <w:pPr>
              <w:jc w:val="right"/>
              <w:spacing w:after="0" w:line="158" w:lineRule="exact"/>
              <w:rPr>
                <w:sz w:val="20"/>
                <w:szCs w:val="20"/>
                <w:color w:val="auto"/>
              </w:rPr>
            </w:pPr>
            <w:r>
              <w:rPr>
                <w:rFonts w:ascii="Arial" w:cs="Arial" w:eastAsia="Arial" w:hAnsi="Arial"/>
                <w:sz w:val="14"/>
                <w:szCs w:val="14"/>
                <w:color w:val="auto"/>
              </w:rPr>
              <w:t>Unit of</w:t>
            </w:r>
          </w:p>
        </w:tc>
        <w:tc>
          <w:tcPr>
            <w:tcW w:w="0" w:type="dxa"/>
            <w:vAlign w:val="bottom"/>
          </w:tcPr>
          <w:p>
            <w:pPr>
              <w:spacing w:after="0"/>
              <w:rPr>
                <w:sz w:val="1"/>
                <w:szCs w:val="1"/>
                <w:color w:val="auto"/>
              </w:rPr>
            </w:pPr>
          </w:p>
        </w:tc>
      </w:tr>
      <w:tr>
        <w:trPr>
          <w:trHeight w:val="175"/>
        </w:trPr>
        <w:tc>
          <w:tcPr>
            <w:tcW w:w="35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Value</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Input</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Volatility</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Volatility</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Price/Volatility</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Measurement</w:t>
            </w:r>
          </w:p>
        </w:tc>
        <w:tc>
          <w:tcPr>
            <w:tcW w:w="0" w:type="dxa"/>
            <w:vAlign w:val="bottom"/>
          </w:tcPr>
          <w:p>
            <w:pPr>
              <w:spacing w:after="0"/>
              <w:rPr>
                <w:sz w:val="1"/>
                <w:szCs w:val="1"/>
                <w:color w:val="auto"/>
              </w:rPr>
            </w:pPr>
          </w:p>
        </w:tc>
      </w:tr>
      <w:tr>
        <w:trPr>
          <w:trHeight w:val="122"/>
        </w:trPr>
        <w:tc>
          <w:tcPr>
            <w:tcW w:w="3560" w:type="dxa"/>
            <w:vAlign w:val="bottom"/>
          </w:tcPr>
          <w:p>
            <w:pPr>
              <w:spacing w:after="0" w:line="119" w:lineRule="exact"/>
              <w:rPr>
                <w:sz w:val="20"/>
                <w:szCs w:val="20"/>
                <w:color w:val="auto"/>
              </w:rPr>
            </w:pPr>
            <w:r>
              <w:rPr>
                <w:rFonts w:ascii="Arial" w:cs="Arial" w:eastAsia="Arial" w:hAnsi="Arial"/>
                <w:sz w:val="13"/>
                <w:szCs w:val="13"/>
                <w:i w:val="1"/>
                <w:iCs w:val="1"/>
                <w:color w:val="auto"/>
              </w:rPr>
              <w:t>(fair value in millions of Canadian dollars)</w:t>
            </w:r>
          </w:p>
        </w:tc>
        <w:tc>
          <w:tcPr>
            <w:tcW w:w="120" w:type="dxa"/>
            <w:vAlign w:val="bottom"/>
            <w:tcBorders>
              <w:bottom w:val="single" w:sz="8" w:color="DDDDDD"/>
            </w:tcBorders>
            <w:shd w:val="clear" w:color="auto" w:fill="DDDDDD"/>
          </w:tcPr>
          <w:p>
            <w:pPr>
              <w:spacing w:after="0"/>
              <w:rPr>
                <w:sz w:val="10"/>
                <w:szCs w:val="10"/>
                <w:color w:val="auto"/>
              </w:rPr>
            </w:pPr>
          </w:p>
        </w:tc>
        <w:tc>
          <w:tcPr>
            <w:tcW w:w="520" w:type="dxa"/>
            <w:vAlign w:val="bottom"/>
            <w:tcBorders>
              <w:bottom w:val="single" w:sz="8" w:color="DDDDDD"/>
            </w:tcBorders>
            <w:shd w:val="clear" w:color="auto" w:fill="DDDDDD"/>
          </w:tcPr>
          <w:p>
            <w:pPr>
              <w:spacing w:after="0"/>
              <w:rPr>
                <w:sz w:val="10"/>
                <w:szCs w:val="10"/>
                <w:color w:val="auto"/>
              </w:rPr>
            </w:pPr>
          </w:p>
        </w:tc>
        <w:tc>
          <w:tcPr>
            <w:tcW w:w="120" w:type="dxa"/>
            <w:vAlign w:val="bottom"/>
            <w:tcBorders>
              <w:bottom w:val="single" w:sz="8" w:color="DDDDDD"/>
            </w:tcBorders>
            <w:shd w:val="clear" w:color="auto" w:fill="DDDDDD"/>
          </w:tcPr>
          <w:p>
            <w:pPr>
              <w:spacing w:after="0"/>
              <w:rPr>
                <w:sz w:val="10"/>
                <w:szCs w:val="10"/>
                <w:color w:val="auto"/>
              </w:rPr>
            </w:pPr>
          </w:p>
        </w:tc>
        <w:tc>
          <w:tcPr>
            <w:tcW w:w="2100" w:type="dxa"/>
            <w:vAlign w:val="bottom"/>
            <w:tcBorders>
              <w:bottom w:val="single" w:sz="8" w:color="DDDDDD"/>
            </w:tcBorders>
            <w:shd w:val="clear" w:color="auto" w:fill="DDDDDD"/>
          </w:tcPr>
          <w:p>
            <w:pPr>
              <w:spacing w:after="0"/>
              <w:rPr>
                <w:sz w:val="10"/>
                <w:szCs w:val="10"/>
                <w:color w:val="auto"/>
              </w:rPr>
            </w:pPr>
          </w:p>
        </w:tc>
        <w:tc>
          <w:tcPr>
            <w:tcW w:w="120" w:type="dxa"/>
            <w:vAlign w:val="bottom"/>
            <w:tcBorders>
              <w:bottom w:val="single" w:sz="8" w:color="DDDDDD"/>
            </w:tcBorders>
            <w:shd w:val="clear" w:color="auto" w:fill="DDDDDD"/>
          </w:tcPr>
          <w:p>
            <w:pPr>
              <w:spacing w:after="0"/>
              <w:rPr>
                <w:sz w:val="10"/>
                <w:szCs w:val="10"/>
                <w:color w:val="auto"/>
              </w:rPr>
            </w:pPr>
          </w:p>
        </w:tc>
        <w:tc>
          <w:tcPr>
            <w:tcW w:w="780" w:type="dxa"/>
            <w:vAlign w:val="bottom"/>
            <w:tcBorders>
              <w:bottom w:val="single" w:sz="8" w:color="DDDDDD"/>
            </w:tcBorders>
            <w:shd w:val="clear" w:color="auto" w:fill="DDDDDD"/>
          </w:tcPr>
          <w:p>
            <w:pPr>
              <w:spacing w:after="0"/>
              <w:rPr>
                <w:sz w:val="10"/>
                <w:szCs w:val="10"/>
                <w:color w:val="auto"/>
              </w:rPr>
            </w:pPr>
          </w:p>
        </w:tc>
        <w:tc>
          <w:tcPr>
            <w:tcW w:w="120" w:type="dxa"/>
            <w:vAlign w:val="bottom"/>
            <w:tcBorders>
              <w:bottom w:val="single" w:sz="8" w:color="DDDDDD"/>
            </w:tcBorders>
            <w:shd w:val="clear" w:color="auto" w:fill="DDDDDD"/>
          </w:tcPr>
          <w:p>
            <w:pPr>
              <w:spacing w:after="0"/>
              <w:rPr>
                <w:sz w:val="10"/>
                <w:szCs w:val="10"/>
                <w:color w:val="auto"/>
              </w:rPr>
            </w:pPr>
          </w:p>
        </w:tc>
        <w:tc>
          <w:tcPr>
            <w:tcW w:w="100" w:type="dxa"/>
            <w:vAlign w:val="bottom"/>
            <w:tcBorders>
              <w:bottom w:val="single" w:sz="8" w:color="DDDDDD"/>
            </w:tcBorders>
            <w:shd w:val="clear" w:color="auto" w:fill="DDDDDD"/>
          </w:tcPr>
          <w:p>
            <w:pPr>
              <w:spacing w:after="0"/>
              <w:rPr>
                <w:sz w:val="10"/>
                <w:szCs w:val="10"/>
                <w:color w:val="auto"/>
              </w:rPr>
            </w:pPr>
          </w:p>
        </w:tc>
        <w:tc>
          <w:tcPr>
            <w:tcW w:w="900" w:type="dxa"/>
            <w:vAlign w:val="bottom"/>
            <w:tcBorders>
              <w:bottom w:val="single" w:sz="8" w:color="DDDDDD"/>
            </w:tcBorders>
            <w:shd w:val="clear" w:color="auto" w:fill="DDDDDD"/>
          </w:tcPr>
          <w:p>
            <w:pPr>
              <w:spacing w:after="0"/>
              <w:rPr>
                <w:sz w:val="10"/>
                <w:szCs w:val="10"/>
                <w:color w:val="auto"/>
              </w:rPr>
            </w:pPr>
          </w:p>
        </w:tc>
        <w:tc>
          <w:tcPr>
            <w:tcW w:w="100" w:type="dxa"/>
            <w:vAlign w:val="bottom"/>
            <w:tcBorders>
              <w:bottom w:val="single" w:sz="8" w:color="DDDDDD"/>
            </w:tcBorders>
            <w:shd w:val="clear" w:color="auto" w:fill="DDDDDD"/>
          </w:tcPr>
          <w:p>
            <w:pPr>
              <w:spacing w:after="0"/>
              <w:rPr>
                <w:sz w:val="10"/>
                <w:szCs w:val="10"/>
                <w:color w:val="auto"/>
              </w:rPr>
            </w:pPr>
          </w:p>
        </w:tc>
        <w:tc>
          <w:tcPr>
            <w:tcW w:w="100" w:type="dxa"/>
            <w:vAlign w:val="bottom"/>
            <w:tcBorders>
              <w:bottom w:val="single" w:sz="8" w:color="DDDDDD"/>
            </w:tcBorders>
            <w:shd w:val="clear" w:color="auto" w:fill="DDDDDD"/>
          </w:tcPr>
          <w:p>
            <w:pPr>
              <w:spacing w:after="0"/>
              <w:rPr>
                <w:sz w:val="10"/>
                <w:szCs w:val="10"/>
                <w:color w:val="auto"/>
              </w:rPr>
            </w:pPr>
          </w:p>
        </w:tc>
        <w:tc>
          <w:tcPr>
            <w:tcW w:w="1260" w:type="dxa"/>
            <w:vAlign w:val="bottom"/>
            <w:tcBorders>
              <w:bottom w:val="single" w:sz="8" w:color="DDDDDD"/>
            </w:tcBorders>
            <w:shd w:val="clear" w:color="auto" w:fill="DDDDDD"/>
          </w:tcPr>
          <w:p>
            <w:pPr>
              <w:spacing w:after="0"/>
              <w:rPr>
                <w:sz w:val="10"/>
                <w:szCs w:val="10"/>
                <w:color w:val="auto"/>
              </w:rPr>
            </w:pPr>
          </w:p>
        </w:tc>
        <w:tc>
          <w:tcPr>
            <w:tcW w:w="120" w:type="dxa"/>
            <w:vAlign w:val="bottom"/>
            <w:tcBorders>
              <w:bottom w:val="single" w:sz="8" w:color="DDDDDD"/>
            </w:tcBorders>
            <w:shd w:val="clear" w:color="auto" w:fill="DDDDDD"/>
          </w:tcPr>
          <w:p>
            <w:pPr>
              <w:spacing w:after="0"/>
              <w:rPr>
                <w:sz w:val="10"/>
                <w:szCs w:val="10"/>
                <w:color w:val="auto"/>
              </w:rPr>
            </w:pPr>
          </w:p>
        </w:tc>
        <w:tc>
          <w:tcPr>
            <w:tcW w:w="1220" w:type="dxa"/>
            <w:vAlign w:val="bottom"/>
            <w:tcBorders>
              <w:bottom w:val="single" w:sz="8" w:color="DDDDDD"/>
            </w:tcBorders>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560" w:type="dxa"/>
            <w:vAlign w:val="bottom"/>
          </w:tcPr>
          <w:p>
            <w:pPr>
              <w:spacing w:after="0" w:line="126" w:lineRule="exact"/>
              <w:rPr>
                <w:sz w:val="20"/>
                <w:szCs w:val="20"/>
                <w:color w:val="auto"/>
              </w:rPr>
            </w:pPr>
            <w:r>
              <w:rPr>
                <w:rFonts w:ascii="Arial" w:cs="Arial" w:eastAsia="Arial" w:hAnsi="Arial"/>
                <w:sz w:val="14"/>
                <w:szCs w:val="14"/>
                <w:color w:val="auto"/>
              </w:rPr>
              <w:t>Commodity contracts - financial¹</w:t>
            </w:r>
          </w:p>
        </w:tc>
        <w:tc>
          <w:tcPr>
            <w:tcW w:w="120" w:type="dxa"/>
            <w:vAlign w:val="bottom"/>
            <w:shd w:val="clear" w:color="auto" w:fill="DDDDDD"/>
          </w:tcPr>
          <w:p>
            <w:pPr>
              <w:spacing w:after="0"/>
              <w:rPr>
                <w:sz w:val="10"/>
                <w:szCs w:val="10"/>
                <w:color w:val="auto"/>
              </w:rPr>
            </w:pPr>
          </w:p>
        </w:tc>
        <w:tc>
          <w:tcPr>
            <w:tcW w:w="520" w:type="dxa"/>
            <w:vAlign w:val="bottom"/>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2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$/mmbtu</w:t>
            </w:r>
            <w:r>
              <w:rPr>
                <w:rFonts w:ascii="Arial" w:cs="Arial" w:eastAsia="Arial" w:hAnsi="Arial"/>
                <w:sz w:val="19"/>
                <w:szCs w:val="19"/>
                <w:b w:val="1"/>
                <w:bCs w:val="1"/>
                <w:color w:val="auto"/>
                <w:vertAlign w:val="superscript"/>
              </w:rPr>
              <w:t>2</w:t>
            </w:r>
          </w:p>
        </w:tc>
        <w:tc>
          <w:tcPr>
            <w:tcW w:w="0" w:type="dxa"/>
            <w:vAlign w:val="bottom"/>
          </w:tcPr>
          <w:p>
            <w:pPr>
              <w:spacing w:after="0"/>
              <w:rPr>
                <w:sz w:val="1"/>
                <w:szCs w:val="1"/>
                <w:color w:val="auto"/>
              </w:rPr>
            </w:pPr>
          </w:p>
        </w:tc>
      </w:tr>
      <w:tr>
        <w:trPr>
          <w:trHeight w:val="23"/>
        </w:trPr>
        <w:tc>
          <w:tcPr>
            <w:tcW w:w="3560" w:type="dxa"/>
            <w:vAlign w:val="bottom"/>
            <w:vMerge w:val="restart"/>
          </w:tcPr>
          <w:p>
            <w:pPr>
              <w:ind w:left="40"/>
              <w:spacing w:after="0" w:line="149" w:lineRule="exact"/>
              <w:rPr>
                <w:sz w:val="20"/>
                <w:szCs w:val="20"/>
                <w:color w:val="auto"/>
              </w:rPr>
            </w:pPr>
            <w:r>
              <w:rPr>
                <w:rFonts w:ascii="Arial" w:cs="Arial" w:eastAsia="Arial" w:hAnsi="Arial"/>
                <w:sz w:val="14"/>
                <w:szCs w:val="14"/>
                <w:color w:val="auto"/>
              </w:rPr>
              <w:t>Natural gas</w:t>
            </w:r>
          </w:p>
        </w:tc>
        <w:tc>
          <w:tcPr>
            <w:tcW w:w="120" w:type="dxa"/>
            <w:vAlign w:val="bottom"/>
            <w:shd w:val="clear" w:color="auto" w:fill="DDDDDD"/>
          </w:tcPr>
          <w:p>
            <w:pPr>
              <w:spacing w:after="0" w:line="20" w:lineRule="exact"/>
              <w:rPr>
                <w:sz w:val="1"/>
                <w:szCs w:val="1"/>
                <w:color w:val="auto"/>
              </w:rPr>
            </w:pPr>
          </w:p>
        </w:tc>
        <w:tc>
          <w:tcPr>
            <w:tcW w:w="520" w:type="dxa"/>
            <w:vAlign w:val="bottom"/>
            <w:vMerge w:val="restart"/>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DDDDDD"/>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rPr>
              <w:t>3.25</w:t>
            </w:r>
          </w:p>
        </w:tc>
        <w:tc>
          <w:tcPr>
            <w:tcW w:w="1120" w:type="dxa"/>
            <w:vAlign w:val="bottom"/>
            <w:gridSpan w:val="3"/>
            <w:vMerge w:val="restart"/>
          </w:tcPr>
          <w:p>
            <w:pPr>
              <w:jc w:val="right"/>
              <w:spacing w:after="0" w:line="149" w:lineRule="exact"/>
              <w:rPr>
                <w:sz w:val="20"/>
                <w:szCs w:val="20"/>
                <w:color w:val="auto"/>
              </w:rPr>
            </w:pPr>
            <w:r>
              <w:rPr>
                <w:rFonts w:ascii="Arial" w:cs="Arial" w:eastAsia="Arial" w:hAnsi="Arial"/>
                <w:sz w:val="14"/>
                <w:szCs w:val="14"/>
                <w:b w:val="1"/>
                <w:bCs w:val="1"/>
                <w:color w:val="auto"/>
              </w:rPr>
              <w:t>9.00</w:t>
            </w:r>
          </w:p>
        </w:tc>
        <w:tc>
          <w:tcPr>
            <w:tcW w:w="1460" w:type="dxa"/>
            <w:vAlign w:val="bottom"/>
            <w:gridSpan w:val="3"/>
            <w:vMerge w:val="restart"/>
          </w:tcPr>
          <w:p>
            <w:pPr>
              <w:jc w:val="right"/>
              <w:spacing w:after="0" w:line="149" w:lineRule="exact"/>
              <w:rPr>
                <w:sz w:val="20"/>
                <w:szCs w:val="20"/>
                <w:color w:val="auto"/>
              </w:rPr>
            </w:pPr>
            <w:r>
              <w:rPr>
                <w:rFonts w:ascii="Arial" w:cs="Arial" w:eastAsia="Arial" w:hAnsi="Arial"/>
                <w:sz w:val="14"/>
                <w:szCs w:val="14"/>
                <w:b w:val="1"/>
                <w:bCs w:val="1"/>
                <w:color w:val="auto"/>
              </w:rPr>
              <w:t>4.50</w:t>
            </w:r>
          </w:p>
        </w:tc>
        <w:tc>
          <w:tcPr>
            <w:tcW w:w="12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560" w:type="dxa"/>
            <w:vAlign w:val="bottom"/>
            <w:vMerge w:val="continue"/>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520" w:type="dxa"/>
            <w:vAlign w:val="bottom"/>
            <w:vMerge w:val="continue"/>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2100" w:type="dxa"/>
            <w:vAlign w:val="bottom"/>
            <w:shd w:val="clear" w:color="auto" w:fill="DDDDDD"/>
          </w:tcPr>
          <w:p>
            <w:pPr>
              <w:jc w:val="right"/>
              <w:spacing w:after="0" w:line="126" w:lineRule="exact"/>
              <w:rPr>
                <w:sz w:val="20"/>
                <w:szCs w:val="20"/>
                <w:color w:val="auto"/>
              </w:rPr>
            </w:pPr>
            <w:r>
              <w:rPr>
                <w:rFonts w:ascii="Arial" w:cs="Arial" w:eastAsia="Arial" w:hAnsi="Arial"/>
                <w:sz w:val="14"/>
                <w:szCs w:val="14"/>
                <w:b w:val="1"/>
                <w:bCs w:val="1"/>
                <w:color w:val="auto"/>
              </w:rPr>
              <w:t>Forward gas price</w:t>
            </w:r>
          </w:p>
        </w:tc>
        <w:tc>
          <w:tcPr>
            <w:tcW w:w="90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560" w:type="dxa"/>
            <w:vAlign w:val="bottom"/>
            <w:vMerge w:val="restart"/>
          </w:tcPr>
          <w:p>
            <w:pPr>
              <w:ind w:left="40"/>
              <w:spacing w:after="0" w:line="149" w:lineRule="exact"/>
              <w:rPr>
                <w:sz w:val="20"/>
                <w:szCs w:val="20"/>
                <w:color w:val="auto"/>
              </w:rPr>
            </w:pPr>
            <w:r>
              <w:rPr>
                <w:rFonts w:ascii="Arial" w:cs="Arial" w:eastAsia="Arial" w:hAnsi="Arial"/>
                <w:sz w:val="14"/>
                <w:szCs w:val="14"/>
                <w:color w:val="auto"/>
              </w:rPr>
              <w:t>Crude</w:t>
            </w:r>
          </w:p>
        </w:tc>
        <w:tc>
          <w:tcPr>
            <w:tcW w:w="120" w:type="dxa"/>
            <w:vAlign w:val="bottom"/>
            <w:shd w:val="clear" w:color="auto" w:fill="DDDDDD"/>
          </w:tcPr>
          <w:p>
            <w:pPr>
              <w:spacing w:after="0" w:line="20" w:lineRule="exact"/>
              <w:rPr>
                <w:sz w:val="1"/>
                <w:szCs w:val="1"/>
                <w:color w:val="auto"/>
              </w:rPr>
            </w:pPr>
          </w:p>
        </w:tc>
        <w:tc>
          <w:tcPr>
            <w:tcW w:w="520" w:type="dxa"/>
            <w:vAlign w:val="bottom"/>
            <w:vMerge w:val="restart"/>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(24)</w:t>
            </w:r>
          </w:p>
        </w:tc>
        <w:tc>
          <w:tcPr>
            <w:tcW w:w="120" w:type="dxa"/>
            <w:vAlign w:val="bottom"/>
            <w:vMerge w:val="restart"/>
            <w:shd w:val="clear" w:color="auto" w:fill="DDDDDD"/>
          </w:tcPr>
          <w:p>
            <w:pPr>
              <w:spacing w:after="0" w:line="20" w:lineRule="exact"/>
              <w:rPr>
                <w:sz w:val="1"/>
                <w:szCs w:val="1"/>
                <w:color w:val="auto"/>
              </w:rPr>
            </w:pPr>
          </w:p>
        </w:tc>
        <w:tc>
          <w:tcPr>
            <w:tcW w:w="2100" w:type="dxa"/>
            <w:vAlign w:val="bottom"/>
            <w:vMerge w:val="restart"/>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Forward crude price</w:t>
            </w: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560" w:type="dxa"/>
            <w:vAlign w:val="bottom"/>
            <w:vMerge w:val="continue"/>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520" w:type="dxa"/>
            <w:vAlign w:val="bottom"/>
            <w:vMerge w:val="continue"/>
            <w:shd w:val="clear" w:color="auto" w:fill="DDDDDD"/>
          </w:tcPr>
          <w:p>
            <w:pPr>
              <w:spacing w:after="0"/>
              <w:rPr>
                <w:sz w:val="10"/>
                <w:szCs w:val="10"/>
                <w:color w:val="auto"/>
              </w:rPr>
            </w:pPr>
          </w:p>
        </w:tc>
        <w:tc>
          <w:tcPr>
            <w:tcW w:w="120" w:type="dxa"/>
            <w:vAlign w:val="bottom"/>
            <w:vMerge w:val="continue"/>
            <w:shd w:val="clear" w:color="auto" w:fill="DDDDDD"/>
          </w:tcPr>
          <w:p>
            <w:pPr>
              <w:spacing w:after="0"/>
              <w:rPr>
                <w:sz w:val="10"/>
                <w:szCs w:val="10"/>
                <w:color w:val="auto"/>
              </w:rPr>
            </w:pPr>
          </w:p>
        </w:tc>
        <w:tc>
          <w:tcPr>
            <w:tcW w:w="2100" w:type="dxa"/>
            <w:vAlign w:val="bottom"/>
            <w:vMerge w:val="continue"/>
            <w:shd w:val="clear" w:color="auto" w:fill="DDDDDD"/>
          </w:tcPr>
          <w:p>
            <w:pPr>
              <w:spacing w:after="0"/>
              <w:rPr>
                <w:sz w:val="10"/>
                <w:szCs w:val="10"/>
                <w:color w:val="auto"/>
              </w:rPr>
            </w:pPr>
          </w:p>
        </w:tc>
        <w:tc>
          <w:tcPr>
            <w:tcW w:w="900" w:type="dxa"/>
            <w:vAlign w:val="bottom"/>
            <w:gridSpan w:val="2"/>
            <w:shd w:val="clear" w:color="auto" w:fill="DDDDDD"/>
          </w:tcPr>
          <w:p>
            <w:pPr>
              <w:jc w:val="right"/>
              <w:spacing w:after="0" w:line="126" w:lineRule="exact"/>
              <w:rPr>
                <w:sz w:val="20"/>
                <w:szCs w:val="20"/>
                <w:color w:val="auto"/>
              </w:rPr>
            </w:pPr>
            <w:r>
              <w:rPr>
                <w:rFonts w:ascii="Arial" w:cs="Arial" w:eastAsia="Arial" w:hAnsi="Arial"/>
                <w:sz w:val="14"/>
                <w:szCs w:val="14"/>
                <w:b w:val="1"/>
                <w:bCs w:val="1"/>
                <w:color w:val="auto"/>
              </w:rPr>
              <w:t>81.37</w:t>
            </w:r>
          </w:p>
        </w:tc>
        <w:tc>
          <w:tcPr>
            <w:tcW w:w="1120" w:type="dxa"/>
            <w:vAlign w:val="bottom"/>
            <w:gridSpan w:val="3"/>
            <w:shd w:val="clear" w:color="auto" w:fill="DDDDDD"/>
          </w:tcPr>
          <w:p>
            <w:pPr>
              <w:jc w:val="right"/>
              <w:spacing w:after="0" w:line="126" w:lineRule="exact"/>
              <w:rPr>
                <w:sz w:val="20"/>
                <w:szCs w:val="20"/>
                <w:color w:val="auto"/>
              </w:rPr>
            </w:pPr>
            <w:r>
              <w:rPr>
                <w:rFonts w:ascii="Arial" w:cs="Arial" w:eastAsia="Arial" w:hAnsi="Arial"/>
                <w:sz w:val="14"/>
                <w:szCs w:val="14"/>
                <w:b w:val="1"/>
                <w:bCs w:val="1"/>
                <w:color w:val="auto"/>
              </w:rPr>
              <w:t>145.47</w:t>
            </w:r>
          </w:p>
        </w:tc>
        <w:tc>
          <w:tcPr>
            <w:tcW w:w="1460" w:type="dxa"/>
            <w:vAlign w:val="bottom"/>
            <w:gridSpan w:val="3"/>
            <w:shd w:val="clear" w:color="auto" w:fill="DDDDDD"/>
          </w:tcPr>
          <w:p>
            <w:pPr>
              <w:jc w:val="right"/>
              <w:spacing w:after="0" w:line="126" w:lineRule="exact"/>
              <w:rPr>
                <w:sz w:val="20"/>
                <w:szCs w:val="20"/>
                <w:color w:val="auto"/>
              </w:rPr>
            </w:pPr>
            <w:r>
              <w:rPr>
                <w:rFonts w:ascii="Arial" w:cs="Arial" w:eastAsia="Arial" w:hAnsi="Arial"/>
                <w:sz w:val="14"/>
                <w:szCs w:val="14"/>
                <w:b w:val="1"/>
                <w:bCs w:val="1"/>
                <w:color w:val="auto"/>
              </w:rPr>
              <w:t>110.32</w:t>
            </w:r>
          </w:p>
        </w:tc>
        <w:tc>
          <w:tcPr>
            <w:tcW w:w="120" w:type="dxa"/>
            <w:vAlign w:val="bottom"/>
            <w:shd w:val="clear" w:color="auto" w:fill="DDDDDD"/>
          </w:tcPr>
          <w:p>
            <w:pPr>
              <w:spacing w:after="0"/>
              <w:rPr>
                <w:sz w:val="10"/>
                <w:szCs w:val="10"/>
                <w:color w:val="auto"/>
              </w:rPr>
            </w:pPr>
          </w:p>
        </w:tc>
        <w:tc>
          <w:tcPr>
            <w:tcW w:w="1220" w:type="dxa"/>
            <w:vAlign w:val="bottom"/>
            <w:shd w:val="clear" w:color="auto" w:fill="DDDDDD"/>
          </w:tcPr>
          <w:p>
            <w:pPr>
              <w:jc w:val="right"/>
              <w:spacing w:after="0" w:line="126" w:lineRule="exact"/>
              <w:rPr>
                <w:sz w:val="20"/>
                <w:szCs w:val="20"/>
                <w:color w:val="auto"/>
              </w:rPr>
            </w:pPr>
            <w:r>
              <w:rPr>
                <w:rFonts w:ascii="Arial" w:cs="Arial" w:eastAsia="Arial" w:hAnsi="Arial"/>
                <w:sz w:val="14"/>
                <w:szCs w:val="14"/>
                <w:b w:val="1"/>
                <w:bCs w:val="1"/>
                <w:color w:val="auto"/>
              </w:rPr>
              <w:t>$/barrel</w:t>
            </w:r>
          </w:p>
        </w:tc>
        <w:tc>
          <w:tcPr>
            <w:tcW w:w="0" w:type="dxa"/>
            <w:vAlign w:val="bottom"/>
          </w:tcPr>
          <w:p>
            <w:pPr>
              <w:spacing w:after="0"/>
              <w:rPr>
                <w:sz w:val="1"/>
                <w:szCs w:val="1"/>
                <w:color w:val="auto"/>
              </w:rPr>
            </w:pPr>
          </w:p>
        </w:tc>
      </w:tr>
      <w:tr>
        <w:trPr>
          <w:trHeight w:val="148"/>
        </w:trPr>
        <w:tc>
          <w:tcPr>
            <w:tcW w:w="3560" w:type="dxa"/>
            <w:vAlign w:val="bottom"/>
          </w:tcPr>
          <w:p>
            <w:pPr>
              <w:ind w:left="40"/>
              <w:spacing w:after="0" w:line="149" w:lineRule="exact"/>
              <w:rPr>
                <w:sz w:val="20"/>
                <w:szCs w:val="20"/>
                <w:color w:val="auto"/>
              </w:rPr>
            </w:pPr>
            <w:r>
              <w:rPr>
                <w:rFonts w:ascii="Arial" w:cs="Arial" w:eastAsia="Arial" w:hAnsi="Arial"/>
                <w:sz w:val="14"/>
                <w:szCs w:val="14"/>
                <w:color w:val="auto"/>
              </w:rPr>
              <w:t>NGL</w:t>
            </w:r>
          </w:p>
        </w:tc>
        <w:tc>
          <w:tcPr>
            <w:tcW w:w="120" w:type="dxa"/>
            <w:vAlign w:val="bottom"/>
            <w:shd w:val="clear" w:color="auto" w:fill="DDDDDD"/>
          </w:tcPr>
          <w:p>
            <w:pPr>
              <w:spacing w:after="0"/>
              <w:rPr>
                <w:sz w:val="12"/>
                <w:szCs w:val="12"/>
                <w:color w:val="auto"/>
              </w:rPr>
            </w:pPr>
          </w:p>
        </w:tc>
        <w:tc>
          <w:tcPr>
            <w:tcW w:w="52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DDDDDD"/>
          </w:tcPr>
          <w:p>
            <w:pPr>
              <w:spacing w:after="0"/>
              <w:rPr>
                <w:sz w:val="12"/>
                <w:szCs w:val="12"/>
                <w:color w:val="auto"/>
              </w:rPr>
            </w:pPr>
          </w:p>
        </w:tc>
        <w:tc>
          <w:tcPr>
            <w:tcW w:w="210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Forward NGL price</w:t>
            </w:r>
          </w:p>
        </w:tc>
        <w:tc>
          <w:tcPr>
            <w:tcW w:w="120" w:type="dxa"/>
            <w:vAlign w:val="bottom"/>
            <w:shd w:val="clear" w:color="auto" w:fill="DDDDDD"/>
          </w:tcPr>
          <w:p>
            <w:pPr>
              <w:spacing w:after="0"/>
              <w:rPr>
                <w:sz w:val="12"/>
                <w:szCs w:val="12"/>
                <w:color w:val="auto"/>
              </w:rPr>
            </w:pPr>
          </w:p>
        </w:tc>
        <w:tc>
          <w:tcPr>
            <w:tcW w:w="78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90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126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122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$/gallon</w:t>
            </w:r>
          </w:p>
        </w:tc>
        <w:tc>
          <w:tcPr>
            <w:tcW w:w="0" w:type="dxa"/>
            <w:vAlign w:val="bottom"/>
          </w:tcPr>
          <w:p>
            <w:pPr>
              <w:spacing w:after="0"/>
              <w:rPr>
                <w:sz w:val="1"/>
                <w:szCs w:val="1"/>
                <w:color w:val="auto"/>
              </w:rPr>
            </w:pPr>
          </w:p>
        </w:tc>
      </w:tr>
      <w:tr>
        <w:trPr>
          <w:trHeight w:val="151"/>
        </w:trPr>
        <w:tc>
          <w:tcPr>
            <w:tcW w:w="3560" w:type="dxa"/>
            <w:vAlign w:val="bottom"/>
          </w:tcPr>
          <w:p>
            <w:pPr>
              <w:ind w:left="40"/>
              <w:spacing w:after="0" w:line="149" w:lineRule="exact"/>
              <w:rPr>
                <w:sz w:val="20"/>
                <w:szCs w:val="20"/>
                <w:color w:val="auto"/>
              </w:rPr>
            </w:pPr>
            <w:r>
              <w:rPr>
                <w:rFonts w:ascii="Arial" w:cs="Arial" w:eastAsia="Arial" w:hAnsi="Arial"/>
                <w:sz w:val="14"/>
                <w:szCs w:val="14"/>
                <w:color w:val="auto"/>
              </w:rPr>
              <w:t>Power</w:t>
            </w:r>
          </w:p>
        </w:tc>
        <w:tc>
          <w:tcPr>
            <w:tcW w:w="120" w:type="dxa"/>
            <w:vAlign w:val="bottom"/>
            <w:tcBorders>
              <w:bottom w:val="single" w:sz="8" w:color="DDDDDD"/>
            </w:tcBorders>
            <w:shd w:val="clear" w:color="auto" w:fill="DDDDDD"/>
          </w:tcPr>
          <w:p>
            <w:pPr>
              <w:spacing w:after="0"/>
              <w:rPr>
                <w:sz w:val="13"/>
                <w:szCs w:val="13"/>
                <w:color w:val="auto"/>
              </w:rPr>
            </w:pPr>
          </w:p>
        </w:tc>
        <w:tc>
          <w:tcPr>
            <w:tcW w:w="520" w:type="dxa"/>
            <w:vAlign w:val="bottom"/>
            <w:tcBorders>
              <w:bottom w:val="single" w:sz="8" w:color="DDDDDD"/>
            </w:tcBorders>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(19)</w:t>
            </w:r>
          </w:p>
        </w:tc>
        <w:tc>
          <w:tcPr>
            <w:tcW w:w="120" w:type="dxa"/>
            <w:vAlign w:val="bottom"/>
            <w:tcBorders>
              <w:bottom w:val="single" w:sz="8" w:color="DDDDDD"/>
            </w:tcBorders>
            <w:shd w:val="clear" w:color="auto" w:fill="DDDDDD"/>
          </w:tcPr>
          <w:p>
            <w:pPr>
              <w:spacing w:after="0"/>
              <w:rPr>
                <w:sz w:val="13"/>
                <w:szCs w:val="13"/>
                <w:color w:val="auto"/>
              </w:rPr>
            </w:pPr>
          </w:p>
        </w:tc>
        <w:tc>
          <w:tcPr>
            <w:tcW w:w="2100" w:type="dxa"/>
            <w:vAlign w:val="bottom"/>
            <w:tcBorders>
              <w:bottom w:val="single" w:sz="8" w:color="DDDDDD"/>
            </w:tcBorders>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Forward power price</w:t>
            </w:r>
          </w:p>
        </w:tc>
        <w:tc>
          <w:tcPr>
            <w:tcW w:w="900" w:type="dxa"/>
            <w:vAlign w:val="bottom"/>
            <w:tcBorders>
              <w:bottom w:val="single" w:sz="8" w:color="DDDDDD"/>
            </w:tcBorders>
            <w:gridSpan w:val="2"/>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27.00</w:t>
            </w:r>
          </w:p>
        </w:tc>
        <w:tc>
          <w:tcPr>
            <w:tcW w:w="120" w:type="dxa"/>
            <w:vAlign w:val="bottom"/>
            <w:tcBorders>
              <w:bottom w:val="single" w:sz="8" w:color="DDDDDD"/>
            </w:tcBorders>
            <w:shd w:val="clear" w:color="auto" w:fill="DDDDDD"/>
          </w:tcPr>
          <w:p>
            <w:pPr>
              <w:spacing w:after="0"/>
              <w:rPr>
                <w:sz w:val="13"/>
                <w:szCs w:val="13"/>
                <w:color w:val="auto"/>
              </w:rPr>
            </w:pPr>
          </w:p>
        </w:tc>
        <w:tc>
          <w:tcPr>
            <w:tcW w:w="1000" w:type="dxa"/>
            <w:vAlign w:val="bottom"/>
            <w:tcBorders>
              <w:bottom w:val="single" w:sz="8" w:color="DDDDDD"/>
            </w:tcBorders>
            <w:gridSpan w:val="2"/>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152.72</w:t>
            </w:r>
          </w:p>
        </w:tc>
        <w:tc>
          <w:tcPr>
            <w:tcW w:w="1460" w:type="dxa"/>
            <w:vAlign w:val="bottom"/>
            <w:tcBorders>
              <w:bottom w:val="single" w:sz="8" w:color="DDDDDD"/>
            </w:tcBorders>
            <w:gridSpan w:val="3"/>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73.54</w:t>
            </w:r>
          </w:p>
        </w:tc>
        <w:tc>
          <w:tcPr>
            <w:tcW w:w="120" w:type="dxa"/>
            <w:vAlign w:val="bottom"/>
            <w:tcBorders>
              <w:bottom w:val="single" w:sz="8" w:color="DDDDDD"/>
            </w:tcBorders>
            <w:shd w:val="clear" w:color="auto" w:fill="DDDDDD"/>
          </w:tcPr>
          <w:p>
            <w:pPr>
              <w:spacing w:after="0"/>
              <w:rPr>
                <w:sz w:val="13"/>
                <w:szCs w:val="13"/>
                <w:color w:val="auto"/>
              </w:rPr>
            </w:pPr>
          </w:p>
        </w:tc>
        <w:tc>
          <w:tcPr>
            <w:tcW w:w="1220" w:type="dxa"/>
            <w:vAlign w:val="bottom"/>
            <w:tcBorders>
              <w:bottom w:val="single" w:sz="8" w:color="DDDDDD"/>
            </w:tcBorders>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$/MW/H</w:t>
            </w:r>
          </w:p>
        </w:tc>
        <w:tc>
          <w:tcPr>
            <w:tcW w:w="0" w:type="dxa"/>
            <w:vAlign w:val="bottom"/>
          </w:tcPr>
          <w:p>
            <w:pPr>
              <w:spacing w:after="0"/>
              <w:rPr>
                <w:sz w:val="1"/>
                <w:szCs w:val="1"/>
                <w:color w:val="auto"/>
              </w:rPr>
            </w:pPr>
          </w:p>
        </w:tc>
      </w:tr>
      <w:tr>
        <w:trPr>
          <w:trHeight w:val="126"/>
        </w:trPr>
        <w:tc>
          <w:tcPr>
            <w:tcW w:w="3560" w:type="dxa"/>
            <w:vAlign w:val="bottom"/>
          </w:tcPr>
          <w:p>
            <w:pPr>
              <w:spacing w:after="0" w:line="126" w:lineRule="exact"/>
              <w:rPr>
                <w:sz w:val="20"/>
                <w:szCs w:val="20"/>
                <w:color w:val="auto"/>
              </w:rPr>
            </w:pPr>
            <w:r>
              <w:rPr>
                <w:rFonts w:ascii="Arial" w:cs="Arial" w:eastAsia="Arial" w:hAnsi="Arial"/>
                <w:sz w:val="14"/>
                <w:szCs w:val="14"/>
                <w:color w:val="auto"/>
              </w:rPr>
              <w:t>Commodity contracts - physical¹</w:t>
            </w:r>
          </w:p>
        </w:tc>
        <w:tc>
          <w:tcPr>
            <w:tcW w:w="120" w:type="dxa"/>
            <w:vAlign w:val="bottom"/>
            <w:shd w:val="clear" w:color="auto" w:fill="DDDDDD"/>
          </w:tcPr>
          <w:p>
            <w:pPr>
              <w:spacing w:after="0"/>
              <w:rPr>
                <w:sz w:val="10"/>
                <w:szCs w:val="10"/>
                <w:color w:val="auto"/>
              </w:rPr>
            </w:pPr>
          </w:p>
        </w:tc>
        <w:tc>
          <w:tcPr>
            <w:tcW w:w="520" w:type="dxa"/>
            <w:vAlign w:val="bottom"/>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2100" w:type="dxa"/>
            <w:vAlign w:val="bottom"/>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780" w:type="dxa"/>
            <w:vAlign w:val="bottom"/>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100" w:type="dxa"/>
            <w:vAlign w:val="bottom"/>
            <w:shd w:val="clear" w:color="auto" w:fill="DDDDDD"/>
          </w:tcPr>
          <w:p>
            <w:pPr>
              <w:spacing w:after="0"/>
              <w:rPr>
                <w:sz w:val="10"/>
                <w:szCs w:val="10"/>
                <w:color w:val="auto"/>
              </w:rPr>
            </w:pPr>
          </w:p>
        </w:tc>
        <w:tc>
          <w:tcPr>
            <w:tcW w:w="900" w:type="dxa"/>
            <w:vAlign w:val="bottom"/>
            <w:shd w:val="clear" w:color="auto" w:fill="DDDDDD"/>
          </w:tcPr>
          <w:p>
            <w:pPr>
              <w:spacing w:after="0"/>
              <w:rPr>
                <w:sz w:val="10"/>
                <w:szCs w:val="10"/>
                <w:color w:val="auto"/>
              </w:rPr>
            </w:pPr>
          </w:p>
        </w:tc>
        <w:tc>
          <w:tcPr>
            <w:tcW w:w="100" w:type="dxa"/>
            <w:vAlign w:val="bottom"/>
            <w:shd w:val="clear" w:color="auto" w:fill="DDDDDD"/>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$/mmbtu</w:t>
            </w:r>
            <w:r>
              <w:rPr>
                <w:rFonts w:ascii="Arial" w:cs="Arial" w:eastAsia="Arial" w:hAnsi="Arial"/>
                <w:sz w:val="19"/>
                <w:szCs w:val="19"/>
                <w:b w:val="1"/>
                <w:bCs w:val="1"/>
                <w:color w:val="auto"/>
                <w:vertAlign w:val="superscript"/>
              </w:rPr>
              <w:t>2</w:t>
            </w:r>
          </w:p>
        </w:tc>
        <w:tc>
          <w:tcPr>
            <w:tcW w:w="0" w:type="dxa"/>
            <w:vAlign w:val="bottom"/>
          </w:tcPr>
          <w:p>
            <w:pPr>
              <w:spacing w:after="0"/>
              <w:rPr>
                <w:sz w:val="1"/>
                <w:szCs w:val="1"/>
                <w:color w:val="auto"/>
              </w:rPr>
            </w:pPr>
          </w:p>
        </w:tc>
      </w:tr>
      <w:tr>
        <w:trPr>
          <w:trHeight w:val="23"/>
        </w:trPr>
        <w:tc>
          <w:tcPr>
            <w:tcW w:w="3560" w:type="dxa"/>
            <w:vAlign w:val="bottom"/>
            <w:vMerge w:val="restart"/>
          </w:tcPr>
          <w:p>
            <w:pPr>
              <w:ind w:left="40"/>
              <w:spacing w:after="0" w:line="149" w:lineRule="exact"/>
              <w:rPr>
                <w:sz w:val="20"/>
                <w:szCs w:val="20"/>
                <w:color w:val="auto"/>
              </w:rPr>
            </w:pPr>
            <w:r>
              <w:rPr>
                <w:rFonts w:ascii="Arial" w:cs="Arial" w:eastAsia="Arial" w:hAnsi="Arial"/>
                <w:sz w:val="14"/>
                <w:szCs w:val="14"/>
                <w:color w:val="auto"/>
              </w:rPr>
              <w:t>Natural gas</w:t>
            </w:r>
          </w:p>
        </w:tc>
        <w:tc>
          <w:tcPr>
            <w:tcW w:w="120" w:type="dxa"/>
            <w:vAlign w:val="bottom"/>
            <w:shd w:val="clear" w:color="auto" w:fill="DDDDDD"/>
          </w:tcPr>
          <w:p>
            <w:pPr>
              <w:spacing w:after="0" w:line="20" w:lineRule="exact"/>
              <w:rPr>
                <w:sz w:val="1"/>
                <w:szCs w:val="1"/>
                <w:color w:val="auto"/>
              </w:rPr>
            </w:pPr>
          </w:p>
        </w:tc>
        <w:tc>
          <w:tcPr>
            <w:tcW w:w="520" w:type="dxa"/>
            <w:vAlign w:val="bottom"/>
            <w:vMerge w:val="restart"/>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120" w:type="dxa"/>
            <w:vAlign w:val="bottom"/>
            <w:shd w:val="clear" w:color="auto" w:fill="DDDDDD"/>
          </w:tcPr>
          <w:p>
            <w:pPr>
              <w:spacing w:after="0" w:line="20" w:lineRule="exact"/>
              <w:rPr>
                <w:sz w:val="1"/>
                <w:szCs w:val="1"/>
                <w:color w:val="auto"/>
              </w:rPr>
            </w:pPr>
          </w:p>
        </w:tc>
        <w:tc>
          <w:tcPr>
            <w:tcW w:w="2100" w:type="dxa"/>
            <w:vAlign w:val="bottom"/>
            <w:vMerge w:val="restart"/>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Forward gas price</w:t>
            </w:r>
          </w:p>
        </w:tc>
        <w:tc>
          <w:tcPr>
            <w:tcW w:w="120" w:type="dxa"/>
            <w:vAlign w:val="bottom"/>
            <w:shd w:val="clear" w:color="auto" w:fill="DDDDDD"/>
          </w:tcPr>
          <w:p>
            <w:pPr>
              <w:spacing w:after="0" w:line="20" w:lineRule="exact"/>
              <w:rPr>
                <w:sz w:val="1"/>
                <w:szCs w:val="1"/>
                <w:color w:val="auto"/>
              </w:rPr>
            </w:pPr>
          </w:p>
        </w:tc>
        <w:tc>
          <w:tcPr>
            <w:tcW w:w="780" w:type="dxa"/>
            <w:vAlign w:val="bottom"/>
            <w:vMerge w:val="restart"/>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0.77</w:t>
            </w:r>
          </w:p>
        </w:tc>
        <w:tc>
          <w:tcPr>
            <w:tcW w:w="120" w:type="dxa"/>
            <w:vAlign w:val="bottom"/>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900" w:type="dxa"/>
            <w:vAlign w:val="bottom"/>
            <w:vMerge w:val="restart"/>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17.66</w:t>
            </w:r>
          </w:p>
        </w:tc>
        <w:tc>
          <w:tcPr>
            <w:tcW w:w="100" w:type="dxa"/>
            <w:vAlign w:val="bottom"/>
            <w:shd w:val="clear" w:color="auto" w:fill="DDDDD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rPr>
              <w:t>3.73</w:t>
            </w:r>
          </w:p>
        </w:tc>
        <w:tc>
          <w:tcPr>
            <w:tcW w:w="12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560" w:type="dxa"/>
            <w:vAlign w:val="bottom"/>
            <w:vMerge w:val="continue"/>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520" w:type="dxa"/>
            <w:vAlign w:val="bottom"/>
            <w:vMerge w:val="continue"/>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2100" w:type="dxa"/>
            <w:vAlign w:val="bottom"/>
            <w:vMerge w:val="continue"/>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780" w:type="dxa"/>
            <w:vAlign w:val="bottom"/>
            <w:vMerge w:val="continue"/>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100" w:type="dxa"/>
            <w:vAlign w:val="bottom"/>
            <w:shd w:val="clear" w:color="auto" w:fill="DDDDDD"/>
          </w:tcPr>
          <w:p>
            <w:pPr>
              <w:spacing w:after="0"/>
              <w:rPr>
                <w:sz w:val="10"/>
                <w:szCs w:val="10"/>
                <w:color w:val="auto"/>
              </w:rPr>
            </w:pPr>
          </w:p>
        </w:tc>
        <w:tc>
          <w:tcPr>
            <w:tcW w:w="900" w:type="dxa"/>
            <w:vAlign w:val="bottom"/>
            <w:vMerge w:val="continue"/>
            <w:shd w:val="clear" w:color="auto" w:fill="DDDDDD"/>
          </w:tcPr>
          <w:p>
            <w:pPr>
              <w:spacing w:after="0"/>
              <w:rPr>
                <w:sz w:val="10"/>
                <w:szCs w:val="10"/>
                <w:color w:val="auto"/>
              </w:rPr>
            </w:pPr>
          </w:p>
        </w:tc>
        <w:tc>
          <w:tcPr>
            <w:tcW w:w="100" w:type="dxa"/>
            <w:vAlign w:val="bottom"/>
            <w:shd w:val="clear" w:color="auto" w:fill="DDDDDD"/>
          </w:tcPr>
          <w:p>
            <w:pPr>
              <w:spacing w:after="0"/>
              <w:rPr>
                <w:sz w:val="10"/>
                <w:szCs w:val="10"/>
                <w:color w:val="auto"/>
              </w:rPr>
            </w:pPr>
          </w:p>
        </w:tc>
        <w:tc>
          <w:tcPr>
            <w:tcW w:w="100" w:type="dxa"/>
            <w:vAlign w:val="bottom"/>
            <w:shd w:val="clear" w:color="auto" w:fill="DDDDDD"/>
          </w:tcPr>
          <w:p>
            <w:pPr>
              <w:spacing w:after="0"/>
              <w:rPr>
                <w:sz w:val="10"/>
                <w:szCs w:val="10"/>
                <w:color w:val="auto"/>
              </w:rPr>
            </w:pPr>
          </w:p>
        </w:tc>
        <w:tc>
          <w:tcPr>
            <w:tcW w:w="1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560" w:type="dxa"/>
            <w:vAlign w:val="bottom"/>
            <w:vMerge w:val="restart"/>
          </w:tcPr>
          <w:p>
            <w:pPr>
              <w:ind w:left="40"/>
              <w:spacing w:after="0" w:line="149" w:lineRule="exact"/>
              <w:rPr>
                <w:sz w:val="20"/>
                <w:szCs w:val="20"/>
                <w:color w:val="auto"/>
              </w:rPr>
            </w:pPr>
            <w:r>
              <w:rPr>
                <w:rFonts w:ascii="Arial" w:cs="Arial" w:eastAsia="Arial" w:hAnsi="Arial"/>
                <w:sz w:val="14"/>
                <w:szCs w:val="14"/>
                <w:color w:val="auto"/>
              </w:rPr>
              <w:t>Crude</w:t>
            </w:r>
          </w:p>
        </w:tc>
        <w:tc>
          <w:tcPr>
            <w:tcW w:w="120" w:type="dxa"/>
            <w:vAlign w:val="bottom"/>
            <w:shd w:val="clear" w:color="auto" w:fill="DDDDDD"/>
          </w:tcPr>
          <w:p>
            <w:pPr>
              <w:spacing w:after="0" w:line="20" w:lineRule="exact"/>
              <w:rPr>
                <w:sz w:val="1"/>
                <w:szCs w:val="1"/>
                <w:color w:val="auto"/>
              </w:rPr>
            </w:pPr>
          </w:p>
        </w:tc>
        <w:tc>
          <w:tcPr>
            <w:tcW w:w="520" w:type="dxa"/>
            <w:vAlign w:val="bottom"/>
            <w:vMerge w:val="restart"/>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(78)</w:t>
            </w:r>
          </w:p>
        </w:tc>
        <w:tc>
          <w:tcPr>
            <w:tcW w:w="120" w:type="dxa"/>
            <w:vAlign w:val="bottom"/>
            <w:vMerge w:val="restart"/>
            <w:shd w:val="clear" w:color="auto" w:fill="DDDDDD"/>
          </w:tcPr>
          <w:p>
            <w:pPr>
              <w:spacing w:after="0" w:line="20" w:lineRule="exact"/>
              <w:rPr>
                <w:sz w:val="1"/>
                <w:szCs w:val="1"/>
                <w:color w:val="auto"/>
              </w:rPr>
            </w:pPr>
          </w:p>
        </w:tc>
        <w:tc>
          <w:tcPr>
            <w:tcW w:w="2100" w:type="dxa"/>
            <w:vAlign w:val="bottom"/>
            <w:vMerge w:val="restart"/>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Forward crude price</w:t>
            </w:r>
          </w:p>
        </w:tc>
        <w:tc>
          <w:tcPr>
            <w:tcW w:w="120" w:type="dxa"/>
            <w:vAlign w:val="bottom"/>
            <w:shd w:val="clear" w:color="auto" w:fill="DDDDDD"/>
          </w:tcPr>
          <w:p>
            <w:pPr>
              <w:spacing w:after="0" w:line="20" w:lineRule="exact"/>
              <w:rPr>
                <w:sz w:val="1"/>
                <w:szCs w:val="1"/>
                <w:color w:val="auto"/>
              </w:rPr>
            </w:pPr>
          </w:p>
        </w:tc>
        <w:tc>
          <w:tcPr>
            <w:tcW w:w="780" w:type="dxa"/>
            <w:vAlign w:val="bottom"/>
            <w:vMerge w:val="restart"/>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63.91</w:t>
            </w:r>
          </w:p>
        </w:tc>
        <w:tc>
          <w:tcPr>
            <w:tcW w:w="120" w:type="dxa"/>
            <w:vAlign w:val="bottom"/>
            <w:vMerge w:val="restart"/>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900" w:type="dxa"/>
            <w:vAlign w:val="bottom"/>
            <w:vMerge w:val="restart"/>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148.51</w:t>
            </w:r>
          </w:p>
        </w:tc>
        <w:tc>
          <w:tcPr>
            <w:tcW w:w="100" w:type="dxa"/>
            <w:vAlign w:val="bottom"/>
            <w:vMerge w:val="restart"/>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560" w:type="dxa"/>
            <w:vAlign w:val="bottom"/>
            <w:vMerge w:val="continue"/>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520" w:type="dxa"/>
            <w:vAlign w:val="bottom"/>
            <w:vMerge w:val="continue"/>
            <w:shd w:val="clear" w:color="auto" w:fill="DDDDDD"/>
          </w:tcPr>
          <w:p>
            <w:pPr>
              <w:spacing w:after="0"/>
              <w:rPr>
                <w:sz w:val="10"/>
                <w:szCs w:val="10"/>
                <w:color w:val="auto"/>
              </w:rPr>
            </w:pPr>
          </w:p>
        </w:tc>
        <w:tc>
          <w:tcPr>
            <w:tcW w:w="120" w:type="dxa"/>
            <w:vAlign w:val="bottom"/>
            <w:vMerge w:val="continue"/>
            <w:shd w:val="clear" w:color="auto" w:fill="DDDDDD"/>
          </w:tcPr>
          <w:p>
            <w:pPr>
              <w:spacing w:after="0"/>
              <w:rPr>
                <w:sz w:val="10"/>
                <w:szCs w:val="10"/>
                <w:color w:val="auto"/>
              </w:rPr>
            </w:pPr>
          </w:p>
        </w:tc>
        <w:tc>
          <w:tcPr>
            <w:tcW w:w="2100" w:type="dxa"/>
            <w:vAlign w:val="bottom"/>
            <w:vMerge w:val="continue"/>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780" w:type="dxa"/>
            <w:vAlign w:val="bottom"/>
            <w:vMerge w:val="continue"/>
            <w:shd w:val="clear" w:color="auto" w:fill="DDDDDD"/>
          </w:tcPr>
          <w:p>
            <w:pPr>
              <w:spacing w:after="0"/>
              <w:rPr>
                <w:sz w:val="10"/>
                <w:szCs w:val="10"/>
                <w:color w:val="auto"/>
              </w:rPr>
            </w:pPr>
          </w:p>
        </w:tc>
        <w:tc>
          <w:tcPr>
            <w:tcW w:w="120" w:type="dxa"/>
            <w:vAlign w:val="bottom"/>
            <w:vMerge w:val="continue"/>
            <w:shd w:val="clear" w:color="auto" w:fill="DDDDDD"/>
          </w:tcPr>
          <w:p>
            <w:pPr>
              <w:spacing w:after="0"/>
              <w:rPr>
                <w:sz w:val="10"/>
                <w:szCs w:val="10"/>
                <w:color w:val="auto"/>
              </w:rPr>
            </w:pPr>
          </w:p>
        </w:tc>
        <w:tc>
          <w:tcPr>
            <w:tcW w:w="100" w:type="dxa"/>
            <w:vAlign w:val="bottom"/>
            <w:shd w:val="clear" w:color="auto" w:fill="DDDDDD"/>
          </w:tcPr>
          <w:p>
            <w:pPr>
              <w:spacing w:after="0"/>
              <w:rPr>
                <w:sz w:val="10"/>
                <w:szCs w:val="10"/>
                <w:color w:val="auto"/>
              </w:rPr>
            </w:pPr>
          </w:p>
        </w:tc>
        <w:tc>
          <w:tcPr>
            <w:tcW w:w="900" w:type="dxa"/>
            <w:vAlign w:val="bottom"/>
            <w:vMerge w:val="continue"/>
            <w:shd w:val="clear" w:color="auto" w:fill="DDDDDD"/>
          </w:tcPr>
          <w:p>
            <w:pPr>
              <w:spacing w:after="0"/>
              <w:rPr>
                <w:sz w:val="10"/>
                <w:szCs w:val="10"/>
                <w:color w:val="auto"/>
              </w:rPr>
            </w:pPr>
          </w:p>
        </w:tc>
        <w:tc>
          <w:tcPr>
            <w:tcW w:w="100" w:type="dxa"/>
            <w:vAlign w:val="bottom"/>
            <w:vMerge w:val="continue"/>
            <w:shd w:val="clear" w:color="auto" w:fill="DDDDDD"/>
          </w:tcPr>
          <w:p>
            <w:pPr>
              <w:spacing w:after="0"/>
              <w:rPr>
                <w:sz w:val="10"/>
                <w:szCs w:val="10"/>
                <w:color w:val="auto"/>
              </w:rPr>
            </w:pPr>
          </w:p>
        </w:tc>
        <w:tc>
          <w:tcPr>
            <w:tcW w:w="100" w:type="dxa"/>
            <w:vAlign w:val="bottom"/>
            <w:shd w:val="clear" w:color="auto" w:fill="DDDDDD"/>
          </w:tcPr>
          <w:p>
            <w:pPr>
              <w:spacing w:after="0"/>
              <w:rPr>
                <w:sz w:val="10"/>
                <w:szCs w:val="10"/>
                <w:color w:val="auto"/>
              </w:rPr>
            </w:pPr>
          </w:p>
        </w:tc>
        <w:tc>
          <w:tcPr>
            <w:tcW w:w="1260" w:type="dxa"/>
            <w:vAlign w:val="bottom"/>
            <w:shd w:val="clear" w:color="auto" w:fill="DDDDDD"/>
          </w:tcPr>
          <w:p>
            <w:pPr>
              <w:jc w:val="right"/>
              <w:spacing w:after="0" w:line="126" w:lineRule="exact"/>
              <w:rPr>
                <w:sz w:val="20"/>
                <w:szCs w:val="20"/>
                <w:color w:val="auto"/>
              </w:rPr>
            </w:pPr>
            <w:r>
              <w:rPr>
                <w:rFonts w:ascii="Arial" w:cs="Arial" w:eastAsia="Arial" w:hAnsi="Arial"/>
                <w:sz w:val="14"/>
                <w:szCs w:val="14"/>
                <w:b w:val="1"/>
                <w:bCs w:val="1"/>
                <w:color w:val="auto"/>
              </w:rPr>
              <w:t>124.50</w:t>
            </w:r>
          </w:p>
        </w:tc>
        <w:tc>
          <w:tcPr>
            <w:tcW w:w="120" w:type="dxa"/>
            <w:vAlign w:val="bottom"/>
            <w:shd w:val="clear" w:color="auto" w:fill="DDDDDD"/>
          </w:tcPr>
          <w:p>
            <w:pPr>
              <w:spacing w:after="0"/>
              <w:rPr>
                <w:sz w:val="10"/>
                <w:szCs w:val="10"/>
                <w:color w:val="auto"/>
              </w:rPr>
            </w:pPr>
          </w:p>
        </w:tc>
        <w:tc>
          <w:tcPr>
            <w:tcW w:w="1220" w:type="dxa"/>
            <w:vAlign w:val="bottom"/>
            <w:shd w:val="clear" w:color="auto" w:fill="DDDDDD"/>
          </w:tcPr>
          <w:p>
            <w:pPr>
              <w:jc w:val="right"/>
              <w:spacing w:after="0" w:line="126" w:lineRule="exact"/>
              <w:rPr>
                <w:sz w:val="20"/>
                <w:szCs w:val="20"/>
                <w:color w:val="auto"/>
              </w:rPr>
            </w:pPr>
            <w:r>
              <w:rPr>
                <w:rFonts w:ascii="Arial" w:cs="Arial" w:eastAsia="Arial" w:hAnsi="Arial"/>
                <w:sz w:val="14"/>
                <w:szCs w:val="14"/>
                <w:b w:val="1"/>
                <w:bCs w:val="1"/>
                <w:color w:val="auto"/>
              </w:rPr>
              <w:t>$/barrel</w:t>
            </w:r>
          </w:p>
        </w:tc>
        <w:tc>
          <w:tcPr>
            <w:tcW w:w="0" w:type="dxa"/>
            <w:vAlign w:val="bottom"/>
          </w:tcPr>
          <w:p>
            <w:pPr>
              <w:spacing w:after="0"/>
              <w:rPr>
                <w:sz w:val="1"/>
                <w:szCs w:val="1"/>
                <w:color w:val="auto"/>
              </w:rPr>
            </w:pPr>
          </w:p>
        </w:tc>
      </w:tr>
      <w:tr>
        <w:trPr>
          <w:trHeight w:val="148"/>
        </w:trPr>
        <w:tc>
          <w:tcPr>
            <w:tcW w:w="3560" w:type="dxa"/>
            <w:vAlign w:val="bottom"/>
          </w:tcPr>
          <w:p>
            <w:pPr>
              <w:ind w:left="40"/>
              <w:spacing w:after="0" w:line="149" w:lineRule="exact"/>
              <w:rPr>
                <w:sz w:val="20"/>
                <w:szCs w:val="20"/>
                <w:color w:val="auto"/>
              </w:rPr>
            </w:pPr>
            <w:r>
              <w:rPr>
                <w:rFonts w:ascii="Arial" w:cs="Arial" w:eastAsia="Arial" w:hAnsi="Arial"/>
                <w:sz w:val="14"/>
                <w:szCs w:val="14"/>
                <w:color w:val="auto"/>
              </w:rPr>
              <w:t>NGL</w:t>
            </w:r>
          </w:p>
        </w:tc>
        <w:tc>
          <w:tcPr>
            <w:tcW w:w="120" w:type="dxa"/>
            <w:vAlign w:val="bottom"/>
            <w:shd w:val="clear" w:color="auto" w:fill="DDDDDD"/>
          </w:tcPr>
          <w:p>
            <w:pPr>
              <w:spacing w:after="0"/>
              <w:rPr>
                <w:sz w:val="12"/>
                <w:szCs w:val="12"/>
                <w:color w:val="auto"/>
              </w:rPr>
            </w:pPr>
          </w:p>
        </w:tc>
        <w:tc>
          <w:tcPr>
            <w:tcW w:w="52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DDDDDD"/>
          </w:tcPr>
          <w:p>
            <w:pPr>
              <w:spacing w:after="0"/>
              <w:rPr>
                <w:sz w:val="12"/>
                <w:szCs w:val="12"/>
                <w:color w:val="auto"/>
              </w:rPr>
            </w:pPr>
          </w:p>
        </w:tc>
        <w:tc>
          <w:tcPr>
            <w:tcW w:w="210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Forward NGL price</w:t>
            </w:r>
          </w:p>
        </w:tc>
        <w:tc>
          <w:tcPr>
            <w:tcW w:w="120" w:type="dxa"/>
            <w:vAlign w:val="bottom"/>
            <w:shd w:val="clear" w:color="auto" w:fill="DDDDDD"/>
          </w:tcPr>
          <w:p>
            <w:pPr>
              <w:spacing w:after="0"/>
              <w:rPr>
                <w:sz w:val="12"/>
                <w:szCs w:val="12"/>
                <w:color w:val="auto"/>
              </w:rPr>
            </w:pPr>
          </w:p>
        </w:tc>
        <w:tc>
          <w:tcPr>
            <w:tcW w:w="78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90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126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122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$/gallon</w:t>
            </w:r>
          </w:p>
        </w:tc>
        <w:tc>
          <w:tcPr>
            <w:tcW w:w="0" w:type="dxa"/>
            <w:vAlign w:val="bottom"/>
          </w:tcPr>
          <w:p>
            <w:pPr>
              <w:spacing w:after="0"/>
              <w:rPr>
                <w:sz w:val="1"/>
                <w:szCs w:val="1"/>
                <w:color w:val="auto"/>
              </w:rPr>
            </w:pPr>
          </w:p>
        </w:tc>
      </w:tr>
      <w:tr>
        <w:trPr>
          <w:trHeight w:val="151"/>
        </w:trPr>
        <w:tc>
          <w:tcPr>
            <w:tcW w:w="3560" w:type="dxa"/>
            <w:vAlign w:val="bottom"/>
          </w:tcPr>
          <w:p>
            <w:pPr>
              <w:ind w:left="40"/>
              <w:spacing w:after="0" w:line="145" w:lineRule="exact"/>
              <w:rPr>
                <w:sz w:val="20"/>
                <w:szCs w:val="20"/>
                <w:color w:val="auto"/>
              </w:rPr>
            </w:pPr>
            <w:r>
              <w:rPr>
                <w:rFonts w:ascii="Arial" w:cs="Arial" w:eastAsia="Arial" w:hAnsi="Arial"/>
                <w:sz w:val="14"/>
                <w:szCs w:val="14"/>
                <w:color w:val="auto"/>
              </w:rPr>
              <w:t>Power</w:t>
            </w:r>
          </w:p>
        </w:tc>
        <w:tc>
          <w:tcPr>
            <w:tcW w:w="120" w:type="dxa"/>
            <w:vAlign w:val="bottom"/>
            <w:tcBorders>
              <w:bottom w:val="single" w:sz="8" w:color="DDDDDD"/>
            </w:tcBorders>
            <w:shd w:val="clear" w:color="auto" w:fill="DDDDDD"/>
          </w:tcPr>
          <w:p>
            <w:pPr>
              <w:spacing w:after="0"/>
              <w:rPr>
                <w:sz w:val="13"/>
                <w:szCs w:val="13"/>
                <w:color w:val="auto"/>
              </w:rPr>
            </w:pPr>
          </w:p>
        </w:tc>
        <w:tc>
          <w:tcPr>
            <w:tcW w:w="520" w:type="dxa"/>
            <w:vAlign w:val="bottom"/>
            <w:tcBorders>
              <w:bottom w:val="single" w:sz="8" w:color="DDDDDD"/>
            </w:tcBorders>
            <w:shd w:val="clear" w:color="auto" w:fill="DDDDDD"/>
          </w:tcPr>
          <w:p>
            <w:pPr>
              <w:jc w:val="right"/>
              <w:spacing w:after="0" w:line="145" w:lineRule="exact"/>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DDDDDD"/>
            </w:tcBorders>
            <w:shd w:val="clear" w:color="auto" w:fill="DDDDDD"/>
          </w:tcPr>
          <w:p>
            <w:pPr>
              <w:spacing w:after="0"/>
              <w:rPr>
                <w:sz w:val="13"/>
                <w:szCs w:val="13"/>
                <w:color w:val="auto"/>
              </w:rPr>
            </w:pPr>
          </w:p>
        </w:tc>
        <w:tc>
          <w:tcPr>
            <w:tcW w:w="2100" w:type="dxa"/>
            <w:vAlign w:val="bottom"/>
            <w:tcBorders>
              <w:bottom w:val="single" w:sz="8" w:color="DDDDDD"/>
            </w:tcBorders>
            <w:shd w:val="clear" w:color="auto" w:fill="DDDDDD"/>
          </w:tcPr>
          <w:p>
            <w:pPr>
              <w:jc w:val="right"/>
              <w:spacing w:after="0" w:line="145" w:lineRule="exact"/>
              <w:rPr>
                <w:sz w:val="20"/>
                <w:szCs w:val="20"/>
                <w:color w:val="auto"/>
              </w:rPr>
            </w:pPr>
            <w:r>
              <w:rPr>
                <w:rFonts w:ascii="Arial" w:cs="Arial" w:eastAsia="Arial" w:hAnsi="Arial"/>
                <w:sz w:val="14"/>
                <w:szCs w:val="14"/>
                <w:b w:val="1"/>
                <w:bCs w:val="1"/>
                <w:color w:val="auto"/>
              </w:rPr>
              <w:t>Forward power price</w:t>
            </w:r>
          </w:p>
        </w:tc>
        <w:tc>
          <w:tcPr>
            <w:tcW w:w="900" w:type="dxa"/>
            <w:vAlign w:val="bottom"/>
            <w:tcBorders>
              <w:bottom w:val="single" w:sz="8" w:color="DDDDDD"/>
            </w:tcBorders>
            <w:gridSpan w:val="2"/>
            <w:shd w:val="clear" w:color="auto" w:fill="DDDDDD"/>
          </w:tcPr>
          <w:p>
            <w:pPr>
              <w:jc w:val="right"/>
              <w:spacing w:after="0" w:line="145" w:lineRule="exact"/>
              <w:rPr>
                <w:sz w:val="20"/>
                <w:szCs w:val="20"/>
                <w:color w:val="auto"/>
              </w:rPr>
            </w:pPr>
            <w:r>
              <w:rPr>
                <w:rFonts w:ascii="Arial" w:cs="Arial" w:eastAsia="Arial" w:hAnsi="Arial"/>
                <w:sz w:val="14"/>
                <w:szCs w:val="14"/>
                <w:b w:val="1"/>
                <w:bCs w:val="1"/>
                <w:color w:val="auto"/>
              </w:rPr>
              <w:t>27.08</w:t>
            </w:r>
          </w:p>
        </w:tc>
        <w:tc>
          <w:tcPr>
            <w:tcW w:w="120" w:type="dxa"/>
            <w:vAlign w:val="bottom"/>
            <w:tcBorders>
              <w:bottom w:val="single" w:sz="8" w:color="DDDDDD"/>
            </w:tcBorders>
            <w:shd w:val="clear" w:color="auto" w:fill="DDDDDD"/>
          </w:tcPr>
          <w:p>
            <w:pPr>
              <w:spacing w:after="0"/>
              <w:rPr>
                <w:sz w:val="13"/>
                <w:szCs w:val="13"/>
                <w:color w:val="auto"/>
              </w:rPr>
            </w:pPr>
          </w:p>
        </w:tc>
        <w:tc>
          <w:tcPr>
            <w:tcW w:w="1000" w:type="dxa"/>
            <w:vAlign w:val="bottom"/>
            <w:tcBorders>
              <w:bottom w:val="single" w:sz="8" w:color="DDDDDD"/>
            </w:tcBorders>
            <w:gridSpan w:val="2"/>
            <w:shd w:val="clear" w:color="auto" w:fill="DDDDDD"/>
          </w:tcPr>
          <w:p>
            <w:pPr>
              <w:jc w:val="right"/>
              <w:spacing w:after="0" w:line="145" w:lineRule="exact"/>
              <w:rPr>
                <w:sz w:val="20"/>
                <w:szCs w:val="20"/>
                <w:color w:val="auto"/>
              </w:rPr>
            </w:pPr>
            <w:r>
              <w:rPr>
                <w:rFonts w:ascii="Arial" w:cs="Arial" w:eastAsia="Arial" w:hAnsi="Arial"/>
                <w:sz w:val="14"/>
                <w:szCs w:val="14"/>
                <w:b w:val="1"/>
                <w:bCs w:val="1"/>
                <w:color w:val="auto"/>
              </w:rPr>
              <w:t>162.93</w:t>
            </w:r>
          </w:p>
        </w:tc>
        <w:tc>
          <w:tcPr>
            <w:tcW w:w="100" w:type="dxa"/>
            <w:vAlign w:val="bottom"/>
            <w:tcBorders>
              <w:bottom w:val="single" w:sz="8" w:color="DDDDDD"/>
            </w:tcBorders>
            <w:shd w:val="clear" w:color="auto" w:fill="DDDDDD"/>
          </w:tcPr>
          <w:p>
            <w:pPr>
              <w:spacing w:after="0"/>
              <w:rPr>
                <w:sz w:val="13"/>
                <w:szCs w:val="13"/>
                <w:color w:val="auto"/>
              </w:rPr>
            </w:pPr>
          </w:p>
        </w:tc>
        <w:tc>
          <w:tcPr>
            <w:tcW w:w="1360" w:type="dxa"/>
            <w:vAlign w:val="bottom"/>
            <w:tcBorders>
              <w:bottom w:val="single" w:sz="8" w:color="DDDDDD"/>
            </w:tcBorders>
            <w:gridSpan w:val="2"/>
            <w:shd w:val="clear" w:color="auto" w:fill="DDDDDD"/>
          </w:tcPr>
          <w:p>
            <w:pPr>
              <w:jc w:val="right"/>
              <w:spacing w:after="0" w:line="145" w:lineRule="exact"/>
              <w:rPr>
                <w:sz w:val="20"/>
                <w:szCs w:val="20"/>
                <w:color w:val="auto"/>
              </w:rPr>
            </w:pPr>
            <w:r>
              <w:rPr>
                <w:rFonts w:ascii="Arial" w:cs="Arial" w:eastAsia="Arial" w:hAnsi="Arial"/>
                <w:sz w:val="14"/>
                <w:szCs w:val="14"/>
                <w:b w:val="1"/>
                <w:bCs w:val="1"/>
                <w:color w:val="auto"/>
              </w:rPr>
              <w:t>80.68</w:t>
            </w:r>
          </w:p>
        </w:tc>
        <w:tc>
          <w:tcPr>
            <w:tcW w:w="120" w:type="dxa"/>
            <w:vAlign w:val="bottom"/>
            <w:tcBorders>
              <w:bottom w:val="single" w:sz="8" w:color="DDDDDD"/>
            </w:tcBorders>
            <w:shd w:val="clear" w:color="auto" w:fill="DDDDDD"/>
          </w:tcPr>
          <w:p>
            <w:pPr>
              <w:spacing w:after="0"/>
              <w:rPr>
                <w:sz w:val="13"/>
                <w:szCs w:val="13"/>
                <w:color w:val="auto"/>
              </w:rPr>
            </w:pPr>
          </w:p>
        </w:tc>
        <w:tc>
          <w:tcPr>
            <w:tcW w:w="1220" w:type="dxa"/>
            <w:vAlign w:val="bottom"/>
            <w:tcBorders>
              <w:bottom w:val="single" w:sz="8" w:color="DDDDDD"/>
            </w:tcBorders>
            <w:shd w:val="clear" w:color="auto" w:fill="DDDDDD"/>
          </w:tcPr>
          <w:p>
            <w:pPr>
              <w:jc w:val="right"/>
              <w:spacing w:after="0" w:line="145" w:lineRule="exact"/>
              <w:rPr>
                <w:sz w:val="20"/>
                <w:szCs w:val="20"/>
                <w:color w:val="auto"/>
              </w:rPr>
            </w:pPr>
            <w:r>
              <w:rPr>
                <w:rFonts w:ascii="Arial" w:cs="Arial" w:eastAsia="Arial" w:hAnsi="Arial"/>
                <w:sz w:val="14"/>
                <w:szCs w:val="14"/>
                <w:b w:val="1"/>
                <w:bCs w:val="1"/>
                <w:color w:val="auto"/>
              </w:rPr>
              <w:t>$/MW/H</w:t>
            </w:r>
          </w:p>
        </w:tc>
        <w:tc>
          <w:tcPr>
            <w:tcW w:w="0" w:type="dxa"/>
            <w:vAlign w:val="bottom"/>
          </w:tcPr>
          <w:p>
            <w:pPr>
              <w:spacing w:after="0"/>
              <w:rPr>
                <w:sz w:val="1"/>
                <w:szCs w:val="1"/>
                <w:color w:val="auto"/>
              </w:rPr>
            </w:pPr>
          </w:p>
        </w:tc>
      </w:tr>
      <w:tr>
        <w:trPr>
          <w:trHeight w:val="126"/>
        </w:trPr>
        <w:tc>
          <w:tcPr>
            <w:tcW w:w="3560" w:type="dxa"/>
            <w:vAlign w:val="bottom"/>
          </w:tcPr>
          <w:p>
            <w:pPr>
              <w:spacing w:after="0" w:line="126" w:lineRule="exact"/>
              <w:rPr>
                <w:sz w:val="20"/>
                <w:szCs w:val="20"/>
                <w:color w:val="auto"/>
              </w:rPr>
            </w:pPr>
            <w:r>
              <w:rPr>
                <w:rFonts w:ascii="Arial" w:cs="Arial" w:eastAsia="Arial" w:hAnsi="Arial"/>
                <w:sz w:val="11"/>
                <w:szCs w:val="11"/>
                <w:color w:val="auto"/>
              </w:rPr>
              <w:t>Commodity options</w:t>
            </w:r>
            <w:r>
              <w:rPr>
                <w:rFonts w:ascii="Arial" w:cs="Arial" w:eastAsia="Arial" w:hAnsi="Arial"/>
                <w:sz w:val="14"/>
                <w:szCs w:val="14"/>
                <w:color w:val="auto"/>
                <w:vertAlign w:val="superscript"/>
              </w:rPr>
              <w:t>3</w:t>
            </w:r>
          </w:p>
        </w:tc>
        <w:tc>
          <w:tcPr>
            <w:tcW w:w="120" w:type="dxa"/>
            <w:vAlign w:val="bottom"/>
            <w:shd w:val="clear" w:color="auto" w:fill="DDDDDD"/>
          </w:tcPr>
          <w:p>
            <w:pPr>
              <w:spacing w:after="0"/>
              <w:rPr>
                <w:sz w:val="10"/>
                <w:szCs w:val="10"/>
                <w:color w:val="auto"/>
              </w:rPr>
            </w:pPr>
          </w:p>
        </w:tc>
        <w:tc>
          <w:tcPr>
            <w:tcW w:w="520" w:type="dxa"/>
            <w:vAlign w:val="bottom"/>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2100" w:type="dxa"/>
            <w:vAlign w:val="bottom"/>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780" w:type="dxa"/>
            <w:vAlign w:val="bottom"/>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100" w:type="dxa"/>
            <w:vAlign w:val="bottom"/>
            <w:shd w:val="clear" w:color="auto" w:fill="DDDDDD"/>
          </w:tcPr>
          <w:p>
            <w:pPr>
              <w:spacing w:after="0"/>
              <w:rPr>
                <w:sz w:val="10"/>
                <w:szCs w:val="10"/>
                <w:color w:val="auto"/>
              </w:rPr>
            </w:pPr>
          </w:p>
        </w:tc>
        <w:tc>
          <w:tcPr>
            <w:tcW w:w="900" w:type="dxa"/>
            <w:vAlign w:val="bottom"/>
            <w:shd w:val="clear" w:color="auto" w:fill="DDDDDD"/>
          </w:tcPr>
          <w:p>
            <w:pPr>
              <w:spacing w:after="0"/>
              <w:rPr>
                <w:sz w:val="10"/>
                <w:szCs w:val="10"/>
                <w:color w:val="auto"/>
              </w:rPr>
            </w:pPr>
          </w:p>
        </w:tc>
        <w:tc>
          <w:tcPr>
            <w:tcW w:w="100" w:type="dxa"/>
            <w:vAlign w:val="bottom"/>
            <w:shd w:val="clear" w:color="auto" w:fill="DDDDDD"/>
          </w:tcPr>
          <w:p>
            <w:pPr>
              <w:spacing w:after="0"/>
              <w:rPr>
                <w:sz w:val="10"/>
                <w:szCs w:val="10"/>
                <w:color w:val="auto"/>
              </w:rPr>
            </w:pPr>
          </w:p>
        </w:tc>
        <w:tc>
          <w:tcPr>
            <w:tcW w:w="100" w:type="dxa"/>
            <w:vAlign w:val="bottom"/>
            <w:shd w:val="clear" w:color="auto" w:fill="DDDDDD"/>
          </w:tcPr>
          <w:p>
            <w:pPr>
              <w:spacing w:after="0"/>
              <w:rPr>
                <w:sz w:val="10"/>
                <w:szCs w:val="10"/>
                <w:color w:val="auto"/>
              </w:rPr>
            </w:pPr>
          </w:p>
        </w:tc>
        <w:tc>
          <w:tcPr>
            <w:tcW w:w="1260" w:type="dxa"/>
            <w:vAlign w:val="bottom"/>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$/mmbtu</w:t>
            </w:r>
            <w:r>
              <w:rPr>
                <w:rFonts w:ascii="Arial" w:cs="Arial" w:eastAsia="Arial" w:hAnsi="Arial"/>
                <w:sz w:val="19"/>
                <w:szCs w:val="19"/>
                <w:b w:val="1"/>
                <w:bCs w:val="1"/>
                <w:color w:val="auto"/>
                <w:vertAlign w:val="superscript"/>
              </w:rPr>
              <w:t>2</w:t>
            </w:r>
          </w:p>
        </w:tc>
        <w:tc>
          <w:tcPr>
            <w:tcW w:w="0" w:type="dxa"/>
            <w:vAlign w:val="bottom"/>
          </w:tcPr>
          <w:p>
            <w:pPr>
              <w:spacing w:after="0"/>
              <w:rPr>
                <w:sz w:val="1"/>
                <w:szCs w:val="1"/>
                <w:color w:val="auto"/>
              </w:rPr>
            </w:pPr>
          </w:p>
        </w:tc>
      </w:tr>
      <w:tr>
        <w:trPr>
          <w:trHeight w:val="148"/>
        </w:trPr>
        <w:tc>
          <w:tcPr>
            <w:tcW w:w="3560" w:type="dxa"/>
            <w:vAlign w:val="bottom"/>
          </w:tcPr>
          <w:p>
            <w:pPr>
              <w:ind w:left="40"/>
              <w:spacing w:after="0" w:line="149" w:lineRule="exact"/>
              <w:rPr>
                <w:sz w:val="20"/>
                <w:szCs w:val="20"/>
                <w:color w:val="auto"/>
              </w:rPr>
            </w:pPr>
            <w:r>
              <w:rPr>
                <w:rFonts w:ascii="Arial" w:cs="Arial" w:eastAsia="Arial" w:hAnsi="Arial"/>
                <w:sz w:val="14"/>
                <w:szCs w:val="14"/>
                <w:color w:val="auto"/>
              </w:rPr>
              <w:t>Natural gas</w:t>
            </w:r>
          </w:p>
        </w:tc>
        <w:tc>
          <w:tcPr>
            <w:tcW w:w="640" w:type="dxa"/>
            <w:vAlign w:val="bottom"/>
            <w:gridSpan w:val="2"/>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124</w:t>
            </w:r>
          </w:p>
        </w:tc>
        <w:tc>
          <w:tcPr>
            <w:tcW w:w="120" w:type="dxa"/>
            <w:vAlign w:val="bottom"/>
            <w:shd w:val="clear" w:color="auto" w:fill="DDDDDD"/>
          </w:tcPr>
          <w:p>
            <w:pPr>
              <w:spacing w:after="0"/>
              <w:rPr>
                <w:sz w:val="12"/>
                <w:szCs w:val="12"/>
                <w:color w:val="auto"/>
              </w:rPr>
            </w:pPr>
          </w:p>
        </w:tc>
        <w:tc>
          <w:tcPr>
            <w:tcW w:w="2100" w:type="dxa"/>
            <w:vAlign w:val="bottom"/>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Forward gas price</w:t>
            </w:r>
          </w:p>
        </w:tc>
        <w:tc>
          <w:tcPr>
            <w:tcW w:w="900" w:type="dxa"/>
            <w:vAlign w:val="bottom"/>
            <w:gridSpan w:val="2"/>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3.77</w:t>
            </w:r>
          </w:p>
        </w:tc>
        <w:tc>
          <w:tcPr>
            <w:tcW w:w="120" w:type="dxa"/>
            <w:vAlign w:val="bottom"/>
            <w:shd w:val="clear" w:color="auto" w:fill="DDDDDD"/>
          </w:tcPr>
          <w:p>
            <w:pPr>
              <w:spacing w:after="0"/>
              <w:rPr>
                <w:sz w:val="12"/>
                <w:szCs w:val="12"/>
                <w:color w:val="auto"/>
              </w:rPr>
            </w:pPr>
          </w:p>
        </w:tc>
        <w:tc>
          <w:tcPr>
            <w:tcW w:w="1000" w:type="dxa"/>
            <w:vAlign w:val="bottom"/>
            <w:gridSpan w:val="2"/>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15.14</w:t>
            </w:r>
          </w:p>
        </w:tc>
        <w:tc>
          <w:tcPr>
            <w:tcW w:w="100" w:type="dxa"/>
            <w:vAlign w:val="bottom"/>
            <w:shd w:val="clear" w:color="auto" w:fill="DDDDDD"/>
          </w:tcPr>
          <w:p>
            <w:pPr>
              <w:spacing w:after="0"/>
              <w:rPr>
                <w:sz w:val="12"/>
                <w:szCs w:val="12"/>
                <w:color w:val="auto"/>
              </w:rPr>
            </w:pPr>
          </w:p>
        </w:tc>
        <w:tc>
          <w:tcPr>
            <w:tcW w:w="1360" w:type="dxa"/>
            <w:vAlign w:val="bottom"/>
            <w:gridSpan w:val="2"/>
            <w:shd w:val="clear" w:color="auto" w:fill="DDDDDD"/>
          </w:tcPr>
          <w:p>
            <w:pPr>
              <w:jc w:val="right"/>
              <w:spacing w:after="0" w:line="149" w:lineRule="exact"/>
              <w:rPr>
                <w:sz w:val="20"/>
                <w:szCs w:val="20"/>
                <w:color w:val="auto"/>
              </w:rPr>
            </w:pPr>
            <w:r>
              <w:rPr>
                <w:rFonts w:ascii="Arial" w:cs="Arial" w:eastAsia="Arial" w:hAnsi="Arial"/>
                <w:sz w:val="14"/>
                <w:szCs w:val="14"/>
                <w:b w:val="1"/>
                <w:bCs w:val="1"/>
                <w:color w:val="auto"/>
              </w:rPr>
              <w:t>8.49</w:t>
            </w:r>
          </w:p>
        </w:tc>
        <w:tc>
          <w:tcPr>
            <w:tcW w:w="120" w:type="dxa"/>
            <w:vAlign w:val="bottom"/>
            <w:shd w:val="clear" w:color="auto" w:fill="DDDDDD"/>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shd w:val="clear" w:color="auto" w:fill="DDDDDD"/>
          </w:tcPr>
          <w:p>
            <w:pPr>
              <w:spacing w:after="0"/>
              <w:rPr>
                <w:sz w:val="14"/>
                <w:szCs w:val="14"/>
                <w:color w:val="auto"/>
              </w:rPr>
            </w:pPr>
          </w:p>
        </w:tc>
        <w:tc>
          <w:tcPr>
            <w:tcW w:w="520" w:type="dxa"/>
            <w:vAlign w:val="bottom"/>
            <w:tcBorders>
              <w:bottom w:val="single" w:sz="8" w:color="auto"/>
            </w:tcBorders>
            <w:shd w:val="clear" w:color="auto" w:fill="DDDDDD"/>
          </w:tcPr>
          <w:p>
            <w:pPr>
              <w:spacing w:after="0"/>
              <w:rPr>
                <w:sz w:val="14"/>
                <w:szCs w:val="14"/>
                <w:color w:val="auto"/>
              </w:rPr>
            </w:pPr>
          </w:p>
        </w:tc>
        <w:tc>
          <w:tcPr>
            <w:tcW w:w="120" w:type="dxa"/>
            <w:vAlign w:val="bottom"/>
            <w:tcBorders>
              <w:bottom w:val="single" w:sz="8" w:color="auto"/>
            </w:tcBorders>
            <w:shd w:val="clear" w:color="auto" w:fill="DDDDDD"/>
          </w:tcPr>
          <w:p>
            <w:pPr>
              <w:spacing w:after="0"/>
              <w:rPr>
                <w:sz w:val="14"/>
                <w:szCs w:val="14"/>
                <w:color w:val="auto"/>
              </w:rPr>
            </w:pPr>
          </w:p>
        </w:tc>
        <w:tc>
          <w:tcPr>
            <w:tcW w:w="2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auto"/>
              </w:rPr>
              <w:t>Price volatility</w:t>
            </w:r>
          </w:p>
        </w:tc>
        <w:tc>
          <w:tcPr>
            <w:tcW w:w="900" w:type="dxa"/>
            <w:vAlign w:val="bottom"/>
            <w:tcBorders>
              <w:bottom w:val="single" w:sz="8" w:color="auto"/>
            </w:tcBorders>
            <w:gridSpan w:val="2"/>
            <w:shd w:val="clear" w:color="auto" w:fill="DDDDDD"/>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auto"/>
            </w:tcBorders>
            <w:shd w:val="clear" w:color="auto" w:fill="DDDDDD"/>
          </w:tcPr>
          <w:p>
            <w:pPr>
              <w:spacing w:after="0"/>
              <w:rPr>
                <w:sz w:val="14"/>
                <w:szCs w:val="14"/>
                <w:color w:val="auto"/>
              </w:rPr>
            </w:pPr>
          </w:p>
        </w:tc>
        <w:tc>
          <w:tcPr>
            <w:tcW w:w="1000" w:type="dxa"/>
            <w:vAlign w:val="bottom"/>
            <w:tcBorders>
              <w:bottom w:val="single" w:sz="8" w:color="auto"/>
            </w:tcBorders>
            <w:gridSpan w:val="2"/>
            <w:shd w:val="clear" w:color="auto" w:fill="DDDDDD"/>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Borders>
              <w:bottom w:val="single" w:sz="8" w:color="auto"/>
            </w:tcBorders>
            <w:shd w:val="clear" w:color="auto" w:fill="DDDDDD"/>
          </w:tcPr>
          <w:p>
            <w:pPr>
              <w:spacing w:after="0"/>
              <w:rPr>
                <w:sz w:val="14"/>
                <w:szCs w:val="14"/>
                <w:color w:val="auto"/>
              </w:rPr>
            </w:pPr>
          </w:p>
        </w:tc>
        <w:tc>
          <w:tcPr>
            <w:tcW w:w="1360" w:type="dxa"/>
            <w:vAlign w:val="bottom"/>
            <w:tcBorders>
              <w:bottom w:val="single" w:sz="8" w:color="auto"/>
            </w:tcBorders>
            <w:gridSpan w:val="2"/>
            <w:shd w:val="clear" w:color="auto" w:fill="DDDDDD"/>
          </w:tcPr>
          <w:p>
            <w:pPr>
              <w:jc w:val="right"/>
              <w:spacing w:after="0"/>
              <w:rPr>
                <w:sz w:val="20"/>
                <w:szCs w:val="20"/>
                <w:color w:val="auto"/>
              </w:rPr>
            </w:pPr>
            <w:r>
              <w:rPr>
                <w:rFonts w:ascii="Arial" w:cs="Arial" w:eastAsia="Arial" w:hAnsi="Arial"/>
                <w:sz w:val="14"/>
                <w:szCs w:val="14"/>
                <w:b w:val="1"/>
                <w:bCs w:val="1"/>
                <w:color w:val="auto"/>
              </w:rPr>
              <w:t>53%</w:t>
            </w:r>
          </w:p>
        </w:tc>
        <w:tc>
          <w:tcPr>
            <w:tcW w:w="120" w:type="dxa"/>
            <w:vAlign w:val="bottom"/>
            <w:tcBorders>
              <w:bottom w:val="single" w:sz="8" w:color="auto"/>
            </w:tcBorders>
            <w:shd w:val="clear" w:color="auto" w:fill="DDDDDD"/>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shd w:val="clear" w:color="auto" w:fill="DDDDDD"/>
          </w:tcPr>
          <w:p>
            <w:pPr>
              <w:jc w:val="right"/>
              <w:spacing w:after="0" w:line="142" w:lineRule="exact"/>
              <w:rPr>
                <w:sz w:val="20"/>
                <w:szCs w:val="20"/>
                <w:color w:val="auto"/>
              </w:rPr>
            </w:pPr>
            <w:r>
              <w:rPr>
                <w:rFonts w:ascii="Arial" w:cs="Arial" w:eastAsia="Arial" w:hAnsi="Arial"/>
                <w:sz w:val="14"/>
                <w:szCs w:val="14"/>
                <w:b w:val="1"/>
                <w:bCs w:val="1"/>
                <w:color w:val="auto"/>
              </w:rPr>
              <w:t>13</w:t>
            </w:r>
          </w:p>
        </w:tc>
        <w:tc>
          <w:tcPr>
            <w:tcW w:w="120" w:type="dxa"/>
            <w:vAlign w:val="bottom"/>
            <w:tcBorders>
              <w:bottom w:val="single" w:sz="8" w:color="auto"/>
            </w:tcBorders>
            <w:shd w:val="clear" w:color="auto" w:fill="DDDDDD"/>
          </w:tcPr>
          <w:p>
            <w:pPr>
              <w:spacing w:after="0"/>
              <w:rPr>
                <w:sz w:val="12"/>
                <w:szCs w:val="12"/>
                <w:color w:val="auto"/>
              </w:rPr>
            </w:pPr>
          </w:p>
        </w:tc>
        <w:tc>
          <w:tcPr>
            <w:tcW w:w="2100" w:type="dxa"/>
            <w:vAlign w:val="bottom"/>
            <w:tcBorders>
              <w:bottom w:val="single" w:sz="8" w:color="auto"/>
            </w:tcBorders>
            <w:shd w:val="clear" w:color="auto" w:fill="DDDDDD"/>
          </w:tcPr>
          <w:p>
            <w:pPr>
              <w:spacing w:after="0"/>
              <w:rPr>
                <w:sz w:val="12"/>
                <w:szCs w:val="12"/>
                <w:color w:val="auto"/>
              </w:rPr>
            </w:pPr>
          </w:p>
        </w:tc>
        <w:tc>
          <w:tcPr>
            <w:tcW w:w="120" w:type="dxa"/>
            <w:vAlign w:val="bottom"/>
            <w:tcBorders>
              <w:bottom w:val="single" w:sz="8" w:color="auto"/>
            </w:tcBorders>
            <w:shd w:val="clear" w:color="auto" w:fill="DDDDDD"/>
          </w:tcPr>
          <w:p>
            <w:pPr>
              <w:spacing w:after="0"/>
              <w:rPr>
                <w:sz w:val="12"/>
                <w:szCs w:val="12"/>
                <w:color w:val="auto"/>
              </w:rPr>
            </w:pPr>
          </w:p>
        </w:tc>
        <w:tc>
          <w:tcPr>
            <w:tcW w:w="780" w:type="dxa"/>
            <w:vAlign w:val="bottom"/>
            <w:tcBorders>
              <w:bottom w:val="single" w:sz="8" w:color="auto"/>
            </w:tcBorders>
            <w:shd w:val="clear" w:color="auto" w:fill="DDDDDD"/>
          </w:tcPr>
          <w:p>
            <w:pPr>
              <w:spacing w:after="0"/>
              <w:rPr>
                <w:sz w:val="12"/>
                <w:szCs w:val="12"/>
                <w:color w:val="auto"/>
              </w:rPr>
            </w:pPr>
          </w:p>
        </w:tc>
        <w:tc>
          <w:tcPr>
            <w:tcW w:w="120" w:type="dxa"/>
            <w:vAlign w:val="bottom"/>
            <w:tcBorders>
              <w:bottom w:val="single" w:sz="8" w:color="auto"/>
            </w:tcBorders>
            <w:shd w:val="clear" w:color="auto" w:fill="DDDDDD"/>
          </w:tcPr>
          <w:p>
            <w:pPr>
              <w:spacing w:after="0"/>
              <w:rPr>
                <w:sz w:val="12"/>
                <w:szCs w:val="12"/>
                <w:color w:val="auto"/>
              </w:rPr>
            </w:pPr>
          </w:p>
        </w:tc>
        <w:tc>
          <w:tcPr>
            <w:tcW w:w="100" w:type="dxa"/>
            <w:vAlign w:val="bottom"/>
            <w:tcBorders>
              <w:bottom w:val="single" w:sz="8" w:color="auto"/>
            </w:tcBorders>
            <w:shd w:val="clear" w:color="auto" w:fill="DDDDDD"/>
          </w:tcPr>
          <w:p>
            <w:pPr>
              <w:spacing w:after="0"/>
              <w:rPr>
                <w:sz w:val="12"/>
                <w:szCs w:val="12"/>
                <w:color w:val="auto"/>
              </w:rPr>
            </w:pPr>
          </w:p>
        </w:tc>
        <w:tc>
          <w:tcPr>
            <w:tcW w:w="900" w:type="dxa"/>
            <w:vAlign w:val="bottom"/>
            <w:tcBorders>
              <w:bottom w:val="single" w:sz="8" w:color="auto"/>
            </w:tcBorders>
            <w:shd w:val="clear" w:color="auto" w:fill="DDDDDD"/>
          </w:tcPr>
          <w:p>
            <w:pPr>
              <w:spacing w:after="0"/>
              <w:rPr>
                <w:sz w:val="12"/>
                <w:szCs w:val="12"/>
                <w:color w:val="auto"/>
              </w:rPr>
            </w:pPr>
          </w:p>
        </w:tc>
        <w:tc>
          <w:tcPr>
            <w:tcW w:w="100" w:type="dxa"/>
            <w:vAlign w:val="bottom"/>
            <w:tcBorders>
              <w:bottom w:val="single" w:sz="8" w:color="auto"/>
            </w:tcBorders>
            <w:shd w:val="clear" w:color="auto" w:fill="DDDDDD"/>
          </w:tcPr>
          <w:p>
            <w:pPr>
              <w:spacing w:after="0"/>
              <w:rPr>
                <w:sz w:val="12"/>
                <w:szCs w:val="12"/>
                <w:color w:val="auto"/>
              </w:rPr>
            </w:pPr>
          </w:p>
        </w:tc>
        <w:tc>
          <w:tcPr>
            <w:tcW w:w="100" w:type="dxa"/>
            <w:vAlign w:val="bottom"/>
            <w:tcBorders>
              <w:bottom w:val="single" w:sz="8" w:color="auto"/>
            </w:tcBorders>
            <w:shd w:val="clear" w:color="auto" w:fill="DDDDDD"/>
          </w:tcPr>
          <w:p>
            <w:pPr>
              <w:spacing w:after="0"/>
              <w:rPr>
                <w:sz w:val="12"/>
                <w:szCs w:val="12"/>
                <w:color w:val="auto"/>
              </w:rPr>
            </w:pPr>
          </w:p>
        </w:tc>
        <w:tc>
          <w:tcPr>
            <w:tcW w:w="1260" w:type="dxa"/>
            <w:vAlign w:val="bottom"/>
            <w:tcBorders>
              <w:bottom w:val="single" w:sz="8" w:color="auto"/>
            </w:tcBorders>
            <w:shd w:val="clear" w:color="auto" w:fill="DDDDDD"/>
          </w:tcPr>
          <w:p>
            <w:pPr>
              <w:spacing w:after="0"/>
              <w:rPr>
                <w:sz w:val="12"/>
                <w:szCs w:val="12"/>
                <w:color w:val="auto"/>
              </w:rPr>
            </w:pPr>
          </w:p>
        </w:tc>
        <w:tc>
          <w:tcPr>
            <w:tcW w:w="120" w:type="dxa"/>
            <w:vAlign w:val="bottom"/>
            <w:tcBorders>
              <w:bottom w:val="single" w:sz="8" w:color="auto"/>
            </w:tcBorders>
            <w:shd w:val="clear" w:color="auto" w:fill="DDDDDD"/>
          </w:tcPr>
          <w:p>
            <w:pPr>
              <w:spacing w:after="0"/>
              <w:rPr>
                <w:sz w:val="12"/>
                <w:szCs w:val="12"/>
                <w:color w:val="auto"/>
              </w:rPr>
            </w:pPr>
          </w:p>
        </w:tc>
        <w:tc>
          <w:tcPr>
            <w:tcW w:w="1220" w:type="dxa"/>
            <w:vAlign w:val="bottom"/>
            <w:tcBorders>
              <w:bottom w:val="single" w:sz="8" w:color="auto"/>
            </w:tcBorders>
            <w:shd w:val="clear" w:color="auto" w:fill="DDDDDD"/>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-1336675</wp:posOffset>
            </wp:positionV>
            <wp:extent cx="4474845"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74845" cy="18859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-864870</wp:posOffset>
            </wp:positionV>
            <wp:extent cx="178308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30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-393700</wp:posOffset>
            </wp:positionV>
            <wp:extent cx="848360" cy="394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48360" cy="394335"/>
                    </a:xfrm>
                    <a:prstGeom prst="rect">
                      <a:avLst/>
                    </a:prstGeom>
                    <a:noFill/>
                  </pic:spPr>
                </pic:pic>
              </a:graphicData>
            </a:graphic>
          </wp:anchor>
        </w:drawing>
      </w:r>
    </w:p>
    <w:p>
      <w:pPr>
        <w:spacing w:after="0" w:line="13"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3"/>
          <w:szCs w:val="13"/>
          <w:i w:val="1"/>
          <w:iCs w:val="1"/>
          <w:color w:val="auto"/>
        </w:rPr>
      </w:pPr>
      <w:r>
        <w:rPr>
          <w:rFonts w:ascii="Arial" w:cs="Arial" w:eastAsia="Arial" w:hAnsi="Arial"/>
          <w:sz w:val="14"/>
          <w:szCs w:val="14"/>
          <w:i w:val="1"/>
          <w:iCs w:val="1"/>
          <w:color w:val="auto"/>
        </w:rPr>
        <w:t>Financial and physical forward commodity contracts are valued using a market approach valuation technique.</w:t>
      </w:r>
    </w:p>
    <w:p>
      <w:pPr>
        <w:spacing w:after="0" w:line="26" w:lineRule="exact"/>
        <w:rPr>
          <w:rFonts w:ascii="Arial" w:cs="Arial" w:eastAsia="Arial" w:hAnsi="Arial"/>
          <w:sz w:val="13"/>
          <w:szCs w:val="13"/>
          <w:i w:val="1"/>
          <w:iCs w:val="1"/>
          <w:color w:val="auto"/>
        </w:rPr>
      </w:pPr>
    </w:p>
    <w:p>
      <w:pPr>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2  </w:t>
      </w:r>
      <w:r>
        <w:rPr>
          <w:rFonts w:ascii="Arial" w:cs="Arial" w:eastAsia="Arial" w:hAnsi="Arial"/>
          <w:sz w:val="14"/>
          <w:szCs w:val="14"/>
          <w:i w:val="1"/>
          <w:iCs w:val="1"/>
          <w:color w:val="auto"/>
        </w:rPr>
        <w:t>One million British thermal units (mmbtu).</w:t>
      </w:r>
    </w:p>
    <w:p>
      <w:pPr>
        <w:spacing w:after="0" w:line="1" w:lineRule="exact"/>
        <w:rPr>
          <w:rFonts w:ascii="Arial" w:cs="Arial" w:eastAsia="Arial" w:hAnsi="Arial"/>
          <w:sz w:val="13"/>
          <w:szCs w:val="13"/>
          <w:i w:val="1"/>
          <w:iCs w:val="1"/>
          <w:color w:val="auto"/>
        </w:rPr>
      </w:pPr>
    </w:p>
    <w:p>
      <w:pPr>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3  </w:t>
      </w:r>
      <w:r>
        <w:rPr>
          <w:rFonts w:ascii="Arial" w:cs="Arial" w:eastAsia="Arial" w:hAnsi="Arial"/>
          <w:sz w:val="14"/>
          <w:szCs w:val="14"/>
          <w:i w:val="1"/>
          <w:iCs w:val="1"/>
          <w:color w:val="auto"/>
        </w:rPr>
        <w:t>Commodity options contracts are valued using an option model valuation technique.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26" w:name="page27"/>
    <w:bookmarkEnd w:id="26"/>
    <w:p>
      <w:pPr>
        <w:ind w:right="200"/>
        <w:spacing w:after="0" w:line="261" w:lineRule="auto"/>
        <w:rPr>
          <w:sz w:val="20"/>
          <w:szCs w:val="20"/>
          <w:color w:val="auto"/>
        </w:rPr>
      </w:pPr>
      <w:r>
        <w:rPr>
          <w:rFonts w:ascii="Arial" w:cs="Arial" w:eastAsia="Arial" w:hAnsi="Arial"/>
          <w:sz w:val="18"/>
          <w:szCs w:val="18"/>
          <w:color w:val="auto"/>
        </w:rPr>
        <w:t>If adjusted, the significant unobservable inputs disclosed in the table above would have a direct impact on the fair value of our Level 3 derivative instruments. The significant unobservable inputs used in the fair value measurement of Level 3 derivative instruments include forward commodity prices. Changes in forward commodity prices could result in significantly different fair values for our Level 3 derivatives.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net fair value of derivative assets and liabilities classified as Level 3 in the fair value hierarchy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tcPr>
          <w:p>
            <w:pPr>
              <w:spacing w:after="0"/>
              <w:rPr>
                <w:sz w:val="17"/>
                <w:szCs w:val="17"/>
                <w:color w:val="auto"/>
              </w:rPr>
            </w:pPr>
          </w:p>
        </w:tc>
        <w:tc>
          <w:tcPr>
            <w:tcW w:w="2520" w:type="dxa"/>
            <w:vAlign w:val="bottom"/>
            <w:gridSpan w:val="3"/>
          </w:tcPr>
          <w:p>
            <w:pPr>
              <w:jc w:val="center"/>
              <w:ind w:right="10"/>
              <w:spacing w:after="0"/>
              <w:rPr>
                <w:sz w:val="20"/>
                <w:szCs w:val="20"/>
                <w:color w:val="auto"/>
              </w:rPr>
            </w:pPr>
            <w:r>
              <w:rPr>
                <w:rFonts w:ascii="Arial" w:cs="Arial" w:eastAsia="Arial" w:hAnsi="Arial"/>
                <w:sz w:val="18"/>
                <w:szCs w:val="18"/>
                <w:color w:val="auto"/>
                <w:w w:val="99"/>
              </w:rPr>
              <w:t>Three months ended</w:t>
            </w:r>
          </w:p>
        </w:tc>
      </w:tr>
      <w:tr>
        <w:trPr>
          <w:trHeight w:val="221"/>
        </w:trPr>
        <w:tc>
          <w:tcPr>
            <w:tcW w:w="8720" w:type="dxa"/>
            <w:vAlign w:val="bottom"/>
          </w:tcPr>
          <w:p>
            <w:pPr>
              <w:spacing w:after="0"/>
              <w:rPr>
                <w:sz w:val="19"/>
                <w:szCs w:val="19"/>
                <w:color w:val="auto"/>
              </w:rPr>
            </w:pPr>
          </w:p>
        </w:tc>
        <w:tc>
          <w:tcPr>
            <w:tcW w:w="180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99"/>
              </w:rPr>
              <w:t>March 31,</w:t>
            </w:r>
          </w:p>
        </w:tc>
        <w:tc>
          <w:tcPr>
            <w:tcW w:w="720" w:type="dxa"/>
            <w:vAlign w:val="bottom"/>
            <w:tcBorders>
              <w:bottom w:val="single" w:sz="8" w:color="auto"/>
            </w:tcBorders>
          </w:tcPr>
          <w:p>
            <w:pPr>
              <w:spacing w:after="0"/>
              <w:rPr>
                <w:sz w:val="19"/>
                <w:szCs w:val="19"/>
                <w:color w:val="auto"/>
              </w:rPr>
            </w:pPr>
          </w:p>
        </w:tc>
      </w:tr>
      <w:tr>
        <w:trPr>
          <w:trHeight w:val="183"/>
        </w:trPr>
        <w:tc>
          <w:tcPr>
            <w:tcW w:w="8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rPr>
              <w:t>2026</w:t>
            </w: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2025</w:t>
            </w:r>
          </w:p>
        </w:tc>
      </w:tr>
      <w:tr>
        <w:trPr>
          <w:trHeight w:val="115"/>
        </w:trPr>
        <w:tc>
          <w:tcPr>
            <w:tcW w:w="872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1260" w:type="dxa"/>
            <w:vAlign w:val="bottom"/>
            <w:shd w:val="clear" w:color="auto" w:fill="D9D9D9"/>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84"/>
        </w:trPr>
        <w:tc>
          <w:tcPr>
            <w:tcW w:w="8720" w:type="dxa"/>
            <w:vAlign w:val="bottom"/>
          </w:tcPr>
          <w:p>
            <w:pPr>
              <w:spacing w:after="0" w:line="183" w:lineRule="exact"/>
              <w:rPr>
                <w:sz w:val="20"/>
                <w:szCs w:val="20"/>
                <w:color w:val="auto"/>
              </w:rPr>
            </w:pPr>
            <w:r>
              <w:rPr>
                <w:rFonts w:ascii="Arial" w:cs="Arial" w:eastAsia="Arial" w:hAnsi="Arial"/>
                <w:sz w:val="18"/>
                <w:szCs w:val="18"/>
                <w:color w:val="auto"/>
              </w:rPr>
              <w:t>Level 3 net derivative asset/(liability) at beginning of period</w:t>
            </w:r>
          </w:p>
        </w:tc>
        <w:tc>
          <w:tcPr>
            <w:tcW w:w="1260" w:type="dxa"/>
            <w:vAlign w:val="bottom"/>
            <w:shd w:val="clear" w:color="auto" w:fill="D9D9D9"/>
          </w:tcPr>
          <w:p>
            <w:pPr>
              <w:jc w:val="right"/>
              <w:ind w:right="30"/>
              <w:spacing w:after="0" w:line="183" w:lineRule="exact"/>
              <w:rPr>
                <w:sz w:val="20"/>
                <w:szCs w:val="20"/>
                <w:color w:val="auto"/>
              </w:rPr>
            </w:pPr>
            <w:r>
              <w:rPr>
                <w:rFonts w:ascii="Arial" w:cs="Arial" w:eastAsia="Arial" w:hAnsi="Arial"/>
                <w:sz w:val="18"/>
                <w:szCs w:val="18"/>
                <w:b w:val="1"/>
                <w:bCs w:val="1"/>
                <w:color w:val="auto"/>
              </w:rPr>
              <w:t>188</w:t>
            </w:r>
          </w:p>
        </w:tc>
        <w:tc>
          <w:tcPr>
            <w:tcW w:w="54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8"/>
                <w:szCs w:val="18"/>
                <w:color w:val="auto"/>
              </w:rPr>
              <w:t>(52)</w:t>
            </w:r>
          </w:p>
        </w:tc>
      </w:tr>
      <w:tr>
        <w:trPr>
          <w:trHeight w:val="189"/>
        </w:trPr>
        <w:tc>
          <w:tcPr>
            <w:tcW w:w="8720" w:type="dxa"/>
            <w:vAlign w:val="bottom"/>
          </w:tcPr>
          <w:p>
            <w:pPr>
              <w:spacing w:after="0" w:line="189" w:lineRule="exact"/>
              <w:rPr>
                <w:sz w:val="20"/>
                <w:szCs w:val="20"/>
                <w:color w:val="auto"/>
              </w:rPr>
            </w:pPr>
            <w:r>
              <w:rPr>
                <w:rFonts w:ascii="Arial" w:cs="Arial" w:eastAsia="Arial" w:hAnsi="Arial"/>
                <w:sz w:val="18"/>
                <w:szCs w:val="18"/>
                <w:color w:val="auto"/>
              </w:rPr>
              <w:t>Total gain/(loss), unrealized</w:t>
            </w:r>
          </w:p>
        </w:tc>
        <w:tc>
          <w:tcPr>
            <w:tcW w:w="1260" w:type="dxa"/>
            <w:vAlign w:val="bottom"/>
            <w:shd w:val="clear" w:color="auto" w:fill="D9D9D9"/>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8720" w:type="dxa"/>
            <w:vAlign w:val="bottom"/>
          </w:tcPr>
          <w:p>
            <w:pPr>
              <w:ind w:left="120"/>
              <w:spacing w:after="0" w:line="189" w:lineRule="exact"/>
              <w:rPr>
                <w:sz w:val="20"/>
                <w:szCs w:val="20"/>
                <w:color w:val="auto"/>
              </w:rPr>
            </w:pPr>
            <w:r>
              <w:rPr>
                <w:rFonts w:ascii="Arial" w:cs="Arial" w:eastAsia="Arial" w:hAnsi="Arial"/>
                <w:sz w:val="18"/>
                <w:szCs w:val="18"/>
                <w:color w:val="auto"/>
              </w:rPr>
              <w:t>Included in earnings</w:t>
            </w:r>
            <w:r>
              <w:rPr>
                <w:rFonts w:ascii="Arial" w:cs="Arial" w:eastAsia="Arial" w:hAnsi="Arial"/>
                <w:sz w:val="14"/>
                <w:szCs w:val="14"/>
                <w:color w:val="auto"/>
              </w:rPr>
              <w:t>¹</w:t>
            </w:r>
          </w:p>
        </w:tc>
        <w:tc>
          <w:tcPr>
            <w:tcW w:w="126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(101)</w:t>
            </w:r>
          </w:p>
        </w:tc>
        <w:tc>
          <w:tcPr>
            <w:tcW w:w="540" w:type="dxa"/>
            <w:vAlign w:val="bottom"/>
          </w:tcPr>
          <w:p>
            <w:pPr>
              <w:spacing w:after="0"/>
              <w:rPr>
                <w:sz w:val="16"/>
                <w:szCs w:val="16"/>
                <w:color w:val="auto"/>
              </w:rPr>
            </w:pPr>
          </w:p>
        </w:tc>
        <w:tc>
          <w:tcPr>
            <w:tcW w:w="7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23</w:t>
            </w:r>
          </w:p>
        </w:tc>
      </w:tr>
      <w:tr>
        <w:trPr>
          <w:trHeight w:val="189"/>
        </w:trPr>
        <w:tc>
          <w:tcPr>
            <w:tcW w:w="8720" w:type="dxa"/>
            <w:vAlign w:val="bottom"/>
          </w:tcPr>
          <w:p>
            <w:pPr>
              <w:ind w:left="120"/>
              <w:spacing w:after="0" w:line="189" w:lineRule="exact"/>
              <w:rPr>
                <w:sz w:val="20"/>
                <w:szCs w:val="20"/>
                <w:color w:val="auto"/>
              </w:rPr>
            </w:pPr>
            <w:r>
              <w:rPr>
                <w:rFonts w:ascii="Arial" w:cs="Arial" w:eastAsia="Arial" w:hAnsi="Arial"/>
                <w:sz w:val="18"/>
                <w:szCs w:val="18"/>
                <w:color w:val="auto"/>
              </w:rPr>
              <w:t>Included in OCI</w:t>
            </w:r>
          </w:p>
        </w:tc>
        <w:tc>
          <w:tcPr>
            <w:tcW w:w="126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6"/>
                <w:szCs w:val="16"/>
                <w:color w:val="auto"/>
              </w:rPr>
            </w:pPr>
          </w:p>
        </w:tc>
        <w:tc>
          <w:tcPr>
            <w:tcW w:w="7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2</w:t>
            </w:r>
          </w:p>
        </w:tc>
      </w:tr>
      <w:tr>
        <w:trPr>
          <w:trHeight w:val="189"/>
        </w:trPr>
        <w:tc>
          <w:tcPr>
            <w:tcW w:w="8720" w:type="dxa"/>
            <w:vAlign w:val="bottom"/>
          </w:tcPr>
          <w:p>
            <w:pPr>
              <w:ind w:left="120"/>
              <w:spacing w:after="0" w:line="189" w:lineRule="exact"/>
              <w:rPr>
                <w:sz w:val="20"/>
                <w:szCs w:val="20"/>
                <w:color w:val="auto"/>
              </w:rPr>
            </w:pPr>
            <w:r>
              <w:rPr>
                <w:rFonts w:ascii="Arial" w:cs="Arial" w:eastAsia="Arial" w:hAnsi="Arial"/>
                <w:sz w:val="18"/>
                <w:szCs w:val="18"/>
                <w:color w:val="auto"/>
              </w:rPr>
              <w:t>Included in regulatory assets/liabilities</w:t>
            </w:r>
          </w:p>
        </w:tc>
        <w:tc>
          <w:tcPr>
            <w:tcW w:w="126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(107)</w:t>
            </w:r>
          </w:p>
        </w:tc>
        <w:tc>
          <w:tcPr>
            <w:tcW w:w="5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(45)</w:t>
            </w:r>
          </w:p>
        </w:tc>
      </w:tr>
      <w:tr>
        <w:trPr>
          <w:trHeight w:val="221"/>
        </w:trPr>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Settlements</w:t>
            </w:r>
          </w:p>
        </w:tc>
        <w:tc>
          <w:tcPr>
            <w:tcW w:w="1260" w:type="dxa"/>
            <w:vAlign w:val="bottom"/>
            <w:tcBorders>
              <w:bottom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33</w:t>
            </w: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r>
      <w:tr>
        <w:trPr>
          <w:trHeight w:val="183"/>
        </w:trPr>
        <w:tc>
          <w:tcPr>
            <w:tcW w:w="872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Level 3 net derivative asset at end of period</w:t>
            </w:r>
          </w:p>
        </w:tc>
        <w:tc>
          <w:tcPr>
            <w:tcW w:w="1260" w:type="dxa"/>
            <w:vAlign w:val="bottom"/>
            <w:tcBorders>
              <w:bottom w:val="single" w:sz="8" w:color="auto"/>
            </w:tcBorders>
            <w:shd w:val="clear" w:color="auto" w:fill="D9D9D9"/>
          </w:tcPr>
          <w:p>
            <w:pPr>
              <w:jc w:val="right"/>
              <w:ind w:right="30"/>
              <w:spacing w:after="0" w:line="182" w:lineRule="exact"/>
              <w:rPr>
                <w:sz w:val="20"/>
                <w:szCs w:val="20"/>
                <w:color w:val="auto"/>
              </w:rPr>
            </w:pPr>
            <w:r>
              <w:rPr>
                <w:rFonts w:ascii="Arial" w:cs="Arial" w:eastAsia="Arial" w:hAnsi="Arial"/>
                <w:sz w:val="18"/>
                <w:szCs w:val="18"/>
                <w:b w:val="1"/>
                <w:bCs w:val="1"/>
                <w:color w:val="auto"/>
              </w:rPr>
              <w:t>13</w:t>
            </w: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57</w:t>
            </w:r>
          </w:p>
        </w:tc>
      </w:tr>
    </w:tbl>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Reported within Transportation and other services revenues, Commodity costs and Operating and administrative expense in the Consolidated Statements of Earnings.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into or out of Level 3 as at March 31, 2026 or December 31, 2025.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14"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We currently have designated a portion of our US dollar-denominated debt as a hedge of our net investment in US dollar-denominated investments and subsidiaries.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2026 and 2025, we recognized unrealized foreign exchange losses of $248 million and gains of</w:t>
      </w:r>
    </w:p>
    <w:p>
      <w:pPr>
        <w:spacing w:after="0" w:line="2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$47 million, respectively, on the translation of US dollar-denominated debt, in OCI. During the three months ended March 31, 2026 and 2025, we recognized realized losses of nil and $81 million, respectively, associated with the settlement of US dollar-denominated debt that had matured during the period, in OCI.</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Other Financial Instruments</w:t>
      </w:r>
    </w:p>
    <w:p>
      <w:pPr>
        <w:spacing w:after="0" w:line="14" w:lineRule="exact"/>
        <w:rPr>
          <w:sz w:val="20"/>
          <w:szCs w:val="20"/>
          <w:color w:val="auto"/>
        </w:rPr>
      </w:pPr>
    </w:p>
    <w:p>
      <w:pPr>
        <w:jc w:val="both"/>
        <w:ind w:right="220"/>
        <w:spacing w:after="0" w:line="250" w:lineRule="auto"/>
        <w:rPr>
          <w:sz w:val="20"/>
          <w:szCs w:val="20"/>
          <w:color w:val="auto"/>
        </w:rPr>
      </w:pPr>
      <w:r>
        <w:rPr>
          <w:rFonts w:ascii="Arial" w:cs="Arial" w:eastAsia="Arial" w:hAnsi="Arial"/>
          <w:sz w:val="18"/>
          <w:szCs w:val="18"/>
          <w:color w:val="auto"/>
        </w:rPr>
        <w:t>Certain long-term investments in other entities with no actively quoted prices are classified as Fair Value Measurement Alternative (FVMA) investments and are recorded at cost less impairment. The carrying value of FVMA investments totaled $188 million and $185 million as at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 w:name="page28"/>
    <w:bookmarkEnd w:id="27"/>
    <w:p>
      <w:pPr>
        <w:ind w:right="380"/>
        <w:spacing w:after="0" w:line="261" w:lineRule="auto"/>
        <w:rPr>
          <w:sz w:val="20"/>
          <w:szCs w:val="20"/>
          <w:color w:val="auto"/>
        </w:rPr>
      </w:pPr>
      <w:r>
        <w:rPr>
          <w:rFonts w:ascii="Arial" w:cs="Arial" w:eastAsia="Arial" w:hAnsi="Arial"/>
          <w:sz w:val="18"/>
          <w:szCs w:val="18"/>
          <w:color w:val="auto"/>
        </w:rPr>
        <w:t>We have restricted long-term investments and cash held in trust for the purpose of funding pipeline abandonment in accordance with the CER's regulatory requirements under the LMCI, to cover future pipeline decommissioning costs in the state of Minnesota and to satisfy retirement obligations as Wexpro properties are abandoned. Information regarding these investments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7"/>
                <w:szCs w:val="17"/>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December 31,</w:t>
            </w:r>
          </w:p>
        </w:tc>
      </w:tr>
      <w:tr>
        <w:trPr>
          <w:trHeight w:val="221"/>
        </w:trPr>
        <w:tc>
          <w:tcPr>
            <w:tcW w:w="76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2026</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2025</w:t>
            </w:r>
          </w:p>
        </w:tc>
      </w:tr>
      <w:tr>
        <w:trPr>
          <w:trHeight w:val="115"/>
        </w:trPr>
        <w:tc>
          <w:tcPr>
            <w:tcW w:w="760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1800" w:type="dxa"/>
            <w:vAlign w:val="bottom"/>
            <w:shd w:val="clear" w:color="auto" w:fill="D9D9D9"/>
          </w:tcPr>
          <w:p>
            <w:pPr>
              <w:spacing w:after="0"/>
              <w:rPr>
                <w:sz w:val="10"/>
                <w:szCs w:val="10"/>
                <w:color w:val="auto"/>
              </w:rPr>
            </w:pPr>
          </w:p>
        </w:tc>
        <w:tc>
          <w:tcPr>
            <w:tcW w:w="1840" w:type="dxa"/>
            <w:vAlign w:val="bottom"/>
          </w:tcPr>
          <w:p>
            <w:pPr>
              <w:spacing w:after="0"/>
              <w:rPr>
                <w:sz w:val="10"/>
                <w:szCs w:val="10"/>
                <w:color w:val="auto"/>
              </w:rPr>
            </w:pPr>
          </w:p>
        </w:tc>
      </w:tr>
      <w:tr>
        <w:trPr>
          <w:trHeight w:val="184"/>
        </w:trPr>
        <w:tc>
          <w:tcPr>
            <w:tcW w:w="7600" w:type="dxa"/>
            <w:vAlign w:val="bottom"/>
          </w:tcPr>
          <w:p>
            <w:pPr>
              <w:spacing w:after="0" w:line="183" w:lineRule="exact"/>
              <w:rPr>
                <w:sz w:val="20"/>
                <w:szCs w:val="20"/>
                <w:color w:val="auto"/>
              </w:rPr>
            </w:pPr>
            <w:r>
              <w:rPr>
                <w:rFonts w:ascii="Arial" w:cs="Arial" w:eastAsia="Arial" w:hAnsi="Arial"/>
                <w:sz w:val="18"/>
                <w:szCs w:val="18"/>
                <w:color w:val="auto"/>
              </w:rPr>
              <w:t>Fair value</w:t>
            </w:r>
          </w:p>
        </w:tc>
        <w:tc>
          <w:tcPr>
            <w:tcW w:w="1800" w:type="dxa"/>
            <w:vAlign w:val="bottom"/>
            <w:shd w:val="clear" w:color="auto" w:fill="D9D9D9"/>
          </w:tcPr>
          <w:p>
            <w:pPr>
              <w:spacing w:after="0"/>
              <w:rPr>
                <w:sz w:val="15"/>
                <w:szCs w:val="15"/>
                <w:color w:val="auto"/>
              </w:rPr>
            </w:pPr>
          </w:p>
        </w:tc>
        <w:tc>
          <w:tcPr>
            <w:tcW w:w="1840" w:type="dxa"/>
            <w:vAlign w:val="bottom"/>
          </w:tcPr>
          <w:p>
            <w:pPr>
              <w:spacing w:after="0"/>
              <w:rPr>
                <w:sz w:val="15"/>
                <w:szCs w:val="15"/>
                <w:color w:val="auto"/>
              </w:rPr>
            </w:pPr>
          </w:p>
        </w:tc>
      </w:tr>
      <w:tr>
        <w:trPr>
          <w:trHeight w:val="189"/>
        </w:trPr>
        <w:tc>
          <w:tcPr>
            <w:tcW w:w="7600" w:type="dxa"/>
            <w:vAlign w:val="bottom"/>
          </w:tcPr>
          <w:p>
            <w:pPr>
              <w:jc w:val="right"/>
              <w:ind w:right="6733"/>
              <w:spacing w:after="0" w:line="189" w:lineRule="exact"/>
              <w:rPr>
                <w:sz w:val="20"/>
                <w:szCs w:val="20"/>
                <w:color w:val="auto"/>
              </w:rPr>
            </w:pPr>
            <w:r>
              <w:rPr>
                <w:rFonts w:ascii="Arial" w:cs="Arial" w:eastAsia="Arial" w:hAnsi="Arial"/>
                <w:sz w:val="18"/>
                <w:szCs w:val="18"/>
                <w:color w:val="auto"/>
              </w:rPr>
              <w:t>Level 1</w:t>
            </w:r>
          </w:p>
        </w:tc>
        <w:tc>
          <w:tcPr>
            <w:tcW w:w="180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903</w:t>
            </w:r>
          </w:p>
        </w:tc>
        <w:tc>
          <w:tcPr>
            <w:tcW w:w="1840" w:type="dxa"/>
            <w:vAlign w:val="bottom"/>
          </w:tcPr>
          <w:p>
            <w:pPr>
              <w:jc w:val="right"/>
              <w:ind w:right="30"/>
              <w:spacing w:after="0" w:line="189" w:lineRule="exact"/>
              <w:rPr>
                <w:sz w:val="20"/>
                <w:szCs w:val="20"/>
                <w:color w:val="auto"/>
              </w:rPr>
            </w:pPr>
            <w:r>
              <w:rPr>
                <w:rFonts w:ascii="Arial" w:cs="Arial" w:eastAsia="Arial" w:hAnsi="Arial"/>
                <w:sz w:val="18"/>
                <w:szCs w:val="18"/>
                <w:color w:val="auto"/>
              </w:rPr>
              <w:t>877</w:t>
            </w:r>
          </w:p>
        </w:tc>
      </w:tr>
      <w:tr>
        <w:trPr>
          <w:trHeight w:val="221"/>
        </w:trPr>
        <w:tc>
          <w:tcPr>
            <w:tcW w:w="7600" w:type="dxa"/>
            <w:vAlign w:val="bottom"/>
            <w:tcBorders>
              <w:bottom w:val="single" w:sz="8" w:color="auto"/>
            </w:tcBorders>
          </w:tcPr>
          <w:p>
            <w:pPr>
              <w:jc w:val="right"/>
              <w:ind w:right="6733"/>
              <w:spacing w:after="0"/>
              <w:rPr>
                <w:sz w:val="20"/>
                <w:szCs w:val="20"/>
                <w:color w:val="auto"/>
              </w:rPr>
            </w:pPr>
            <w:r>
              <w:rPr>
                <w:rFonts w:ascii="Arial" w:cs="Arial" w:eastAsia="Arial" w:hAnsi="Arial"/>
                <w:sz w:val="18"/>
                <w:szCs w:val="18"/>
                <w:color w:val="auto"/>
              </w:rPr>
              <w:t>Level 2</w:t>
            </w:r>
          </w:p>
        </w:tc>
        <w:tc>
          <w:tcPr>
            <w:tcW w:w="1800" w:type="dxa"/>
            <w:vAlign w:val="bottom"/>
            <w:tcBorders>
              <w:bottom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426</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416</w:t>
            </w:r>
          </w:p>
        </w:tc>
      </w:tr>
      <w:tr>
        <w:trPr>
          <w:trHeight w:val="183"/>
        </w:trPr>
        <w:tc>
          <w:tcPr>
            <w:tcW w:w="76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Total fair value</w:t>
            </w:r>
            <w:r>
              <w:rPr>
                <w:rFonts w:ascii="Arial" w:cs="Arial" w:eastAsia="Arial" w:hAnsi="Arial"/>
                <w:sz w:val="9"/>
                <w:szCs w:val="9"/>
                <w:color w:val="auto"/>
              </w:rPr>
              <w:t>1</w:t>
            </w:r>
          </w:p>
        </w:tc>
        <w:tc>
          <w:tcPr>
            <w:tcW w:w="1800" w:type="dxa"/>
            <w:vAlign w:val="bottom"/>
            <w:tcBorders>
              <w:bottom w:val="single" w:sz="8" w:color="auto"/>
            </w:tcBorders>
            <w:shd w:val="clear" w:color="auto" w:fill="D9D9D9"/>
          </w:tcPr>
          <w:p>
            <w:pPr>
              <w:jc w:val="right"/>
              <w:ind w:right="30"/>
              <w:spacing w:after="0" w:line="182" w:lineRule="exact"/>
              <w:rPr>
                <w:sz w:val="20"/>
                <w:szCs w:val="20"/>
                <w:color w:val="auto"/>
              </w:rPr>
            </w:pPr>
            <w:r>
              <w:rPr>
                <w:rFonts w:ascii="Arial" w:cs="Arial" w:eastAsia="Arial" w:hAnsi="Arial"/>
                <w:sz w:val="18"/>
                <w:szCs w:val="18"/>
                <w:b w:val="1"/>
                <w:bCs w:val="1"/>
                <w:color w:val="auto"/>
              </w:rPr>
              <w:t>1,329</w:t>
            </w:r>
          </w:p>
        </w:tc>
        <w:tc>
          <w:tcPr>
            <w:tcW w:w="184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1,293</w:t>
            </w:r>
          </w:p>
        </w:tc>
      </w:tr>
      <w:tr>
        <w:trPr>
          <w:trHeight w:val="339"/>
        </w:trPr>
        <w:tc>
          <w:tcPr>
            <w:tcW w:w="7600" w:type="dxa"/>
            <w:vAlign w:val="bottom"/>
          </w:tcPr>
          <w:p>
            <w:pPr>
              <w:spacing w:after="0"/>
              <w:rPr>
                <w:sz w:val="20"/>
                <w:szCs w:val="20"/>
                <w:color w:val="auto"/>
              </w:rPr>
            </w:pPr>
            <w:r>
              <w:rPr>
                <w:rFonts w:ascii="Arial" w:cs="Arial" w:eastAsia="Arial" w:hAnsi="Arial"/>
                <w:sz w:val="18"/>
                <w:szCs w:val="18"/>
                <w:color w:val="auto"/>
              </w:rPr>
              <w:t>Cost</w:t>
            </w:r>
          </w:p>
        </w:tc>
        <w:tc>
          <w:tcPr>
            <w:tcW w:w="1800" w:type="dxa"/>
            <w:vAlign w:val="bottom"/>
            <w:shd w:val="clear" w:color="auto" w:fill="D9D9D9"/>
          </w:tcPr>
          <w:p>
            <w:pPr>
              <w:spacing w:after="0"/>
              <w:rPr>
                <w:sz w:val="24"/>
                <w:szCs w:val="24"/>
                <w:color w:val="auto"/>
              </w:rPr>
            </w:pPr>
          </w:p>
        </w:tc>
        <w:tc>
          <w:tcPr>
            <w:tcW w:w="1840" w:type="dxa"/>
            <w:vAlign w:val="bottom"/>
          </w:tcPr>
          <w:p>
            <w:pPr>
              <w:spacing w:after="0"/>
              <w:rPr>
                <w:sz w:val="24"/>
                <w:szCs w:val="24"/>
                <w:color w:val="auto"/>
              </w:rPr>
            </w:pPr>
          </w:p>
        </w:tc>
      </w:tr>
      <w:tr>
        <w:trPr>
          <w:trHeight w:val="189"/>
        </w:trPr>
        <w:tc>
          <w:tcPr>
            <w:tcW w:w="7600" w:type="dxa"/>
            <w:vAlign w:val="bottom"/>
          </w:tcPr>
          <w:p>
            <w:pPr>
              <w:jc w:val="right"/>
              <w:ind w:right="6733"/>
              <w:spacing w:after="0" w:line="189" w:lineRule="exact"/>
              <w:rPr>
                <w:sz w:val="20"/>
                <w:szCs w:val="20"/>
                <w:color w:val="auto"/>
              </w:rPr>
            </w:pPr>
            <w:r>
              <w:rPr>
                <w:rFonts w:ascii="Arial" w:cs="Arial" w:eastAsia="Arial" w:hAnsi="Arial"/>
                <w:sz w:val="18"/>
                <w:szCs w:val="18"/>
                <w:color w:val="auto"/>
              </w:rPr>
              <w:t>Level 1</w:t>
            </w:r>
          </w:p>
        </w:tc>
        <w:tc>
          <w:tcPr>
            <w:tcW w:w="1800" w:type="dxa"/>
            <w:vAlign w:val="bottom"/>
            <w:shd w:val="clear" w:color="auto" w:fill="D9D9D9"/>
          </w:tcPr>
          <w:p>
            <w:pPr>
              <w:jc w:val="right"/>
              <w:ind w:right="30"/>
              <w:spacing w:after="0" w:line="189" w:lineRule="exact"/>
              <w:rPr>
                <w:sz w:val="20"/>
                <w:szCs w:val="20"/>
                <w:color w:val="auto"/>
              </w:rPr>
            </w:pPr>
            <w:r>
              <w:rPr>
                <w:rFonts w:ascii="Arial" w:cs="Arial" w:eastAsia="Arial" w:hAnsi="Arial"/>
                <w:sz w:val="18"/>
                <w:szCs w:val="18"/>
                <w:b w:val="1"/>
                <w:bCs w:val="1"/>
                <w:color w:val="auto"/>
              </w:rPr>
              <w:t>783</w:t>
            </w:r>
          </w:p>
        </w:tc>
        <w:tc>
          <w:tcPr>
            <w:tcW w:w="1840" w:type="dxa"/>
            <w:vAlign w:val="bottom"/>
          </w:tcPr>
          <w:p>
            <w:pPr>
              <w:jc w:val="right"/>
              <w:ind w:right="30"/>
              <w:spacing w:after="0" w:line="189" w:lineRule="exact"/>
              <w:rPr>
                <w:sz w:val="20"/>
                <w:szCs w:val="20"/>
                <w:color w:val="auto"/>
              </w:rPr>
            </w:pPr>
            <w:r>
              <w:rPr>
                <w:rFonts w:ascii="Arial" w:cs="Arial" w:eastAsia="Arial" w:hAnsi="Arial"/>
                <w:sz w:val="18"/>
                <w:szCs w:val="18"/>
                <w:color w:val="auto"/>
              </w:rPr>
              <w:t>744</w:t>
            </w:r>
          </w:p>
        </w:tc>
      </w:tr>
      <w:tr>
        <w:trPr>
          <w:trHeight w:val="221"/>
        </w:trPr>
        <w:tc>
          <w:tcPr>
            <w:tcW w:w="7600" w:type="dxa"/>
            <w:vAlign w:val="bottom"/>
            <w:tcBorders>
              <w:bottom w:val="single" w:sz="8" w:color="auto"/>
            </w:tcBorders>
          </w:tcPr>
          <w:p>
            <w:pPr>
              <w:jc w:val="right"/>
              <w:ind w:right="6733"/>
              <w:spacing w:after="0"/>
              <w:rPr>
                <w:sz w:val="20"/>
                <w:szCs w:val="20"/>
                <w:color w:val="auto"/>
              </w:rPr>
            </w:pPr>
            <w:r>
              <w:rPr>
                <w:rFonts w:ascii="Arial" w:cs="Arial" w:eastAsia="Arial" w:hAnsi="Arial"/>
                <w:sz w:val="18"/>
                <w:szCs w:val="18"/>
                <w:color w:val="auto"/>
              </w:rPr>
              <w:t>Level 2</w:t>
            </w:r>
          </w:p>
        </w:tc>
        <w:tc>
          <w:tcPr>
            <w:tcW w:w="1800" w:type="dxa"/>
            <w:vAlign w:val="bottom"/>
            <w:tcBorders>
              <w:bottom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437</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426</w:t>
            </w:r>
          </w:p>
        </w:tc>
      </w:tr>
      <w:tr>
        <w:trPr>
          <w:trHeight w:val="183"/>
        </w:trPr>
        <w:tc>
          <w:tcPr>
            <w:tcW w:w="7600" w:type="dxa"/>
            <w:vAlign w:val="bottom"/>
            <w:tcBorders>
              <w:bottom w:val="single" w:sz="8" w:color="auto"/>
            </w:tcBorders>
          </w:tcPr>
          <w:p>
            <w:pPr>
              <w:jc w:val="right"/>
              <w:ind w:right="6733"/>
              <w:spacing w:after="0" w:line="182" w:lineRule="exact"/>
              <w:rPr>
                <w:sz w:val="20"/>
                <w:szCs w:val="20"/>
                <w:color w:val="auto"/>
              </w:rPr>
            </w:pPr>
            <w:r>
              <w:rPr>
                <w:rFonts w:ascii="Arial" w:cs="Arial" w:eastAsia="Arial" w:hAnsi="Arial"/>
                <w:sz w:val="18"/>
                <w:szCs w:val="18"/>
                <w:color w:val="auto"/>
                <w:w w:val="97"/>
              </w:rPr>
              <w:t>Total cost</w:t>
            </w:r>
          </w:p>
        </w:tc>
        <w:tc>
          <w:tcPr>
            <w:tcW w:w="1800" w:type="dxa"/>
            <w:vAlign w:val="bottom"/>
            <w:tcBorders>
              <w:bottom w:val="single" w:sz="8" w:color="auto"/>
            </w:tcBorders>
            <w:shd w:val="clear" w:color="auto" w:fill="D9D9D9"/>
          </w:tcPr>
          <w:p>
            <w:pPr>
              <w:jc w:val="right"/>
              <w:ind w:right="30"/>
              <w:spacing w:after="0" w:line="182" w:lineRule="exact"/>
              <w:rPr>
                <w:sz w:val="20"/>
                <w:szCs w:val="20"/>
                <w:color w:val="auto"/>
              </w:rPr>
            </w:pPr>
            <w:r>
              <w:rPr>
                <w:rFonts w:ascii="Arial" w:cs="Arial" w:eastAsia="Arial" w:hAnsi="Arial"/>
                <w:sz w:val="18"/>
                <w:szCs w:val="18"/>
                <w:b w:val="1"/>
                <w:bCs w:val="1"/>
                <w:color w:val="auto"/>
              </w:rPr>
              <w:t>1,220</w:t>
            </w:r>
          </w:p>
        </w:tc>
        <w:tc>
          <w:tcPr>
            <w:tcW w:w="184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1,170</w:t>
            </w:r>
          </w:p>
        </w:tc>
      </w:tr>
    </w:tbl>
    <w:p>
      <w:pPr>
        <w:spacing w:after="0" w:line="33" w:lineRule="exact"/>
        <w:rPr>
          <w:sz w:val="20"/>
          <w:szCs w:val="20"/>
          <w:color w:val="auto"/>
        </w:rPr>
      </w:pPr>
    </w:p>
    <w:p>
      <w:pPr>
        <w:ind w:left="180" w:right="580" w:hanging="179"/>
        <w:spacing w:after="0" w:line="302" w:lineRule="auto"/>
        <w:rPr>
          <w:sz w:val="20"/>
          <w:szCs w:val="20"/>
          <w:color w:val="auto"/>
        </w:rPr>
      </w:pPr>
      <w:r>
        <w:rPr>
          <w:rFonts w:ascii="Arial" w:cs="Arial" w:eastAsia="Arial" w:hAnsi="Arial"/>
          <w:sz w:val="14"/>
          <w:szCs w:val="14"/>
          <w:i w:val="1"/>
          <w:iCs w:val="1"/>
          <w:color w:val="auto"/>
        </w:rPr>
        <w:t>1 Investments are classified as available-for-sale, recognized at fair value and included in Restricted long-term investments and cash in the Consolidated Statements of Financial Position.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tcPr>
          <w:p>
            <w:pPr>
              <w:spacing w:after="0"/>
              <w:rPr>
                <w:sz w:val="17"/>
                <w:szCs w:val="17"/>
                <w:color w:val="auto"/>
              </w:rPr>
            </w:pPr>
          </w:p>
        </w:tc>
        <w:tc>
          <w:tcPr>
            <w:tcW w:w="2520" w:type="dxa"/>
            <w:vAlign w:val="bottom"/>
            <w:gridSpan w:val="3"/>
          </w:tcPr>
          <w:p>
            <w:pPr>
              <w:jc w:val="center"/>
              <w:ind w:right="10"/>
              <w:spacing w:after="0"/>
              <w:rPr>
                <w:sz w:val="20"/>
                <w:szCs w:val="20"/>
                <w:color w:val="auto"/>
              </w:rPr>
            </w:pPr>
            <w:r>
              <w:rPr>
                <w:rFonts w:ascii="Arial" w:cs="Arial" w:eastAsia="Arial" w:hAnsi="Arial"/>
                <w:sz w:val="18"/>
                <w:szCs w:val="18"/>
                <w:color w:val="auto"/>
                <w:w w:val="99"/>
              </w:rPr>
              <w:t>Three months ended</w:t>
            </w:r>
          </w:p>
        </w:tc>
        <w:tc>
          <w:tcPr>
            <w:tcW w:w="0" w:type="dxa"/>
            <w:vAlign w:val="bottom"/>
          </w:tcPr>
          <w:p>
            <w:pPr>
              <w:spacing w:after="0"/>
              <w:rPr>
                <w:sz w:val="1"/>
                <w:szCs w:val="1"/>
                <w:color w:val="auto"/>
              </w:rPr>
            </w:pPr>
          </w:p>
        </w:tc>
      </w:tr>
      <w:tr>
        <w:trPr>
          <w:trHeight w:val="221"/>
        </w:trPr>
        <w:tc>
          <w:tcPr>
            <w:tcW w:w="8720" w:type="dxa"/>
            <w:vAlign w:val="bottom"/>
          </w:tcPr>
          <w:p>
            <w:pPr>
              <w:spacing w:after="0"/>
              <w:rPr>
                <w:sz w:val="19"/>
                <w:szCs w:val="19"/>
                <w:color w:val="auto"/>
              </w:rPr>
            </w:pPr>
          </w:p>
        </w:tc>
        <w:tc>
          <w:tcPr>
            <w:tcW w:w="180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99"/>
              </w:rPr>
              <w:t>March 31,</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rPr>
              <w:t>2026</w:t>
            </w: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15"/>
        </w:trPr>
        <w:tc>
          <w:tcPr>
            <w:tcW w:w="872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1260" w:type="dxa"/>
            <w:vAlign w:val="bottom"/>
            <w:vMerge w:val="restart"/>
            <w:shd w:val="clear" w:color="auto" w:fill="D9D9D9"/>
          </w:tcPr>
          <w:p>
            <w:pPr>
              <w:jc w:val="right"/>
              <w:spacing w:after="0"/>
              <w:rPr>
                <w:sz w:val="20"/>
                <w:szCs w:val="20"/>
                <w:color w:val="auto"/>
              </w:rPr>
            </w:pPr>
            <w:r>
              <w:rPr>
                <w:rFonts w:ascii="Arial" w:cs="Arial" w:eastAsia="Arial" w:hAnsi="Arial"/>
                <w:sz w:val="18"/>
                <w:szCs w:val="18"/>
                <w:b w:val="1"/>
                <w:bCs w:val="1"/>
                <w:color w:val="auto"/>
              </w:rPr>
              <w:t>(11)</w:t>
            </w:r>
          </w:p>
        </w:tc>
        <w:tc>
          <w:tcPr>
            <w:tcW w:w="540" w:type="dxa"/>
            <w:vAlign w:val="bottom"/>
          </w:tcPr>
          <w:p>
            <w:pPr>
              <w:spacing w:after="0"/>
              <w:rPr>
                <w:sz w:val="10"/>
                <w:szCs w:val="10"/>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Unrealized holding gains/(losses)</w:t>
            </w:r>
          </w:p>
        </w:tc>
        <w:tc>
          <w:tcPr>
            <w:tcW w:w="1260" w:type="dxa"/>
            <w:vAlign w:val="bottom"/>
            <w:tcBorders>
              <w:bottom w:val="single" w:sz="8" w:color="auto"/>
            </w:tcBorders>
            <w:vMerge w:val="continue"/>
            <w:shd w:val="clear" w:color="auto" w:fill="D9D9D9"/>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8720" w:type="dxa"/>
            <w:vAlign w:val="bottom"/>
          </w:tcPr>
          <w:p>
            <w:pPr>
              <w:spacing w:after="0"/>
              <w:rPr>
                <w:sz w:val="20"/>
                <w:szCs w:val="20"/>
                <w:color w:val="auto"/>
              </w:rPr>
            </w:pPr>
            <w:r>
              <w:rPr>
                <w:rFonts w:ascii="Arial" w:cs="Arial" w:eastAsia="Arial" w:hAnsi="Arial"/>
                <w:sz w:val="18"/>
                <w:szCs w:val="18"/>
                <w:color w:val="auto"/>
              </w:rPr>
              <w:t>Purchases</w:t>
            </w:r>
          </w:p>
        </w:tc>
        <w:tc>
          <w:tcPr>
            <w:tcW w:w="126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rPr>
              <w:t>(73)</w:t>
            </w: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1"/>
        </w:trPr>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w:t>
            </w:r>
          </w:p>
        </w:tc>
        <w:tc>
          <w:tcPr>
            <w:tcW w:w="1260" w:type="dxa"/>
            <w:vAlign w:val="bottom"/>
            <w:tcBorders>
              <w:bottom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32</w:t>
            </w: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3"/>
        </w:trPr>
        <w:tc>
          <w:tcPr>
            <w:tcW w:w="872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Net purchases</w:t>
            </w:r>
            <w:r>
              <w:rPr>
                <w:rFonts w:ascii="Arial" w:cs="Arial" w:eastAsia="Arial" w:hAnsi="Arial"/>
                <w:sz w:val="9"/>
                <w:szCs w:val="9"/>
                <w:color w:val="auto"/>
              </w:rPr>
              <w:t>1</w:t>
            </w:r>
          </w:p>
        </w:tc>
        <w:tc>
          <w:tcPr>
            <w:tcW w:w="1260" w:type="dxa"/>
            <w:vAlign w:val="bottom"/>
            <w:tcBorders>
              <w:bottom w:val="single" w:sz="8" w:color="auto"/>
            </w:tcBorders>
            <w:shd w:val="clear" w:color="auto" w:fill="D9D9D9"/>
          </w:tcPr>
          <w:p>
            <w:pPr>
              <w:jc w:val="right"/>
              <w:spacing w:after="0" w:line="182" w:lineRule="exact"/>
              <w:rPr>
                <w:sz w:val="20"/>
                <w:szCs w:val="20"/>
                <w:color w:val="auto"/>
              </w:rPr>
            </w:pPr>
            <w:r>
              <w:rPr>
                <w:rFonts w:ascii="Arial" w:cs="Arial" w:eastAsia="Arial" w:hAnsi="Arial"/>
                <w:sz w:val="18"/>
                <w:szCs w:val="18"/>
                <w:b w:val="1"/>
                <w:bCs w:val="1"/>
                <w:color w:val="auto"/>
              </w:rPr>
              <w:t>(41)</w:t>
            </w: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The resulting net cash flow impact is presented under Cash Flows from Investing Activities in the Consolidated Statements of Cash Flows.</w:t>
      </w:r>
    </w:p>
    <w:p>
      <w:pPr>
        <w:spacing w:after="0" w:line="205"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We have a wholly-owned captive insurance subsidiary whose principal activity is providing insurance and reinsurance coverage for certain insurable property and casualty risk exposures of our operating subsidiaries and certain equity investments. As at March 31, 2026, our investments in debt securities held by our captive insurance subsidiary had a fair value of $1.3 billion (December 31, 2025 - $1.2 billion) and cost of $1.3 billion (December 31, 2025 - $1.2 billion). These investments in debt securities are recognized at fair value, classified as Level 2 in the fair value hierarchy, respectively, and are recorded in Long-term investments in the Consolidated Statements of Financial Position. There were unrealized holding losses of $20 million for the three months ended March 31, 2026, respectively (2025 - gains of $1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at March 31, 2026, the maturities for our investments in debt securities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8"/>
                <w:szCs w:val="18"/>
                <w:color w:val="auto"/>
              </w:rPr>
            </w:pPr>
          </w:p>
        </w:tc>
        <w:tc>
          <w:tcPr>
            <w:tcW w:w="1840" w:type="dxa"/>
            <w:vAlign w:val="bottom"/>
            <w:vMerge w:val="restart"/>
          </w:tcPr>
          <w:p>
            <w:pPr>
              <w:jc w:val="right"/>
              <w:ind w:right="330"/>
              <w:spacing w:after="0"/>
              <w:rPr>
                <w:sz w:val="20"/>
                <w:szCs w:val="20"/>
                <w:color w:val="auto"/>
              </w:rPr>
            </w:pPr>
            <w:r>
              <w:rPr>
                <w:rFonts w:ascii="Arial" w:cs="Arial" w:eastAsia="Arial" w:hAnsi="Arial"/>
                <w:sz w:val="18"/>
                <w:szCs w:val="18"/>
                <w:color w:val="auto"/>
              </w:rPr>
              <w:t>Total</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Less than</w:t>
            </w:r>
          </w:p>
        </w:tc>
        <w:tc>
          <w:tcPr>
            <w:tcW w:w="1560" w:type="dxa"/>
            <w:vAlign w:val="bottom"/>
            <w:vMerge w:val="restart"/>
          </w:tcPr>
          <w:p>
            <w:pPr>
              <w:jc w:val="right"/>
              <w:ind w:right="370"/>
              <w:spacing w:after="0"/>
              <w:rPr>
                <w:sz w:val="20"/>
                <w:szCs w:val="20"/>
                <w:color w:val="auto"/>
              </w:rPr>
            </w:pPr>
            <w:r>
              <w:rPr>
                <w:rFonts w:ascii="Arial" w:cs="Arial" w:eastAsia="Arial" w:hAnsi="Arial"/>
                <w:sz w:val="18"/>
                <w:szCs w:val="18"/>
                <w:color w:val="auto"/>
              </w:rPr>
              <w:t>5 years</w:t>
            </w:r>
          </w:p>
        </w:tc>
        <w:tc>
          <w:tcPr>
            <w:tcW w:w="1560" w:type="dxa"/>
            <w:vAlign w:val="bottom"/>
            <w:vMerge w:val="restart"/>
          </w:tcPr>
          <w:p>
            <w:pPr>
              <w:jc w:val="right"/>
              <w:ind w:right="330"/>
              <w:spacing w:after="0"/>
              <w:rPr>
                <w:sz w:val="20"/>
                <w:szCs w:val="20"/>
                <w:color w:val="auto"/>
              </w:rPr>
            </w:pPr>
            <w:r>
              <w:rPr>
                <w:rFonts w:ascii="Arial" w:cs="Arial" w:eastAsia="Arial" w:hAnsi="Arial"/>
                <w:sz w:val="18"/>
                <w:szCs w:val="18"/>
                <w:color w:val="auto"/>
              </w:rPr>
              <w:t>10 years</w:t>
            </w:r>
          </w:p>
        </w:tc>
        <w:tc>
          <w:tcPr>
            <w:tcW w:w="1380" w:type="dxa"/>
            <w:vAlign w:val="bottom"/>
            <w:vMerge w:val="restart"/>
          </w:tcPr>
          <w:p>
            <w:pPr>
              <w:jc w:val="right"/>
              <w:ind w:right="50"/>
              <w:spacing w:after="0"/>
              <w:rPr>
                <w:sz w:val="20"/>
                <w:szCs w:val="20"/>
                <w:color w:val="auto"/>
              </w:rPr>
            </w:pPr>
            <w:r>
              <w:rPr>
                <w:rFonts w:ascii="Arial" w:cs="Arial" w:eastAsia="Arial" w:hAnsi="Arial"/>
                <w:sz w:val="18"/>
                <w:szCs w:val="18"/>
                <w:color w:val="auto"/>
              </w:rPr>
              <w:t>Thereafter</w:t>
            </w:r>
          </w:p>
        </w:tc>
        <w:tc>
          <w:tcPr>
            <w:tcW w:w="0" w:type="dxa"/>
            <w:vAlign w:val="bottom"/>
          </w:tcPr>
          <w:p>
            <w:pPr>
              <w:spacing w:after="0"/>
              <w:rPr>
                <w:sz w:val="1"/>
                <w:szCs w:val="1"/>
                <w:color w:val="auto"/>
              </w:rPr>
            </w:pPr>
          </w:p>
        </w:tc>
      </w:tr>
      <w:tr>
        <w:trPr>
          <w:trHeight w:val="221"/>
        </w:trPr>
        <w:tc>
          <w:tcPr>
            <w:tcW w:w="3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 year</w:t>
            </w:r>
          </w:p>
        </w:tc>
        <w:tc>
          <w:tcPr>
            <w:tcW w:w="1560" w:type="dxa"/>
            <w:vAlign w:val="bottom"/>
            <w:tcBorders>
              <w:bottom w:val="single" w:sz="8" w:color="auto"/>
            </w:tcBorders>
            <w:vMerge w:val="continue"/>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3200" w:type="dxa"/>
            <w:vAlign w:val="bottom"/>
          </w:tcPr>
          <w:p>
            <w:pPr>
              <w:spacing w:after="0" w:line="150" w:lineRule="exact"/>
              <w:rPr>
                <w:sz w:val="20"/>
                <w:szCs w:val="20"/>
                <w:color w:val="auto"/>
              </w:rPr>
            </w:pPr>
            <w:r>
              <w:rPr>
                <w:rFonts w:ascii="Arial" w:cs="Arial" w:eastAsia="Arial" w:hAnsi="Arial"/>
                <w:sz w:val="14"/>
                <w:szCs w:val="14"/>
                <w:i w:val="1"/>
                <w:iCs w:val="1"/>
                <w:color w:val="auto"/>
              </w:rPr>
              <w:t>(millions of Canadian dollars)</w:t>
            </w:r>
          </w:p>
        </w:tc>
        <w:tc>
          <w:tcPr>
            <w:tcW w:w="18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debt securities</w:t>
            </w:r>
          </w:p>
        </w:tc>
        <w:tc>
          <w:tcPr>
            <w:tcW w:w="1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1,251</w:t>
            </w:r>
          </w:p>
        </w:tc>
        <w:tc>
          <w:tcPr>
            <w:tcW w:w="17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86</w:t>
            </w: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813</w:t>
            </w: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280</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As at March 31, 2026 and December 31, 2025, our long-term debt, including finance lease liabilities, had a carrying value before debt issuance costs of $108.5 billion and $104.4 billion, respectively, and a fair value of $107.4 billion and $102.7 billion, respectively.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ind w:right="100"/>
        <w:spacing w:after="0" w:line="261" w:lineRule="auto"/>
        <w:rPr>
          <w:sz w:val="20"/>
          <w:szCs w:val="20"/>
          <w:color w:val="auto"/>
        </w:rPr>
      </w:pPr>
      <w:r>
        <w:rPr>
          <w:rFonts w:ascii="Arial" w:cs="Arial" w:eastAsia="Arial" w:hAnsi="Arial"/>
          <w:sz w:val="18"/>
          <w:szCs w:val="18"/>
          <w:color w:val="auto"/>
        </w:rPr>
        <w:t>The fair value of financial assets and liabilities other than derivative instruments, certain long-term investments in other entities, restricted long-term investments, investments held by our captive insurance subsidiary and long-term debt described above approximate their carrying value due to the short period to maturity.</w:t>
      </w:r>
    </w:p>
    <w:p>
      <w:pPr>
        <w:spacing w:after="0" w:line="13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9. INCOME TAXES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income tax rates for the three months ended March 31, 2026 and 2025 were 24.8% and 21.9%, respectively.</w:t>
      </w:r>
    </w:p>
    <w:p>
      <w:pPr>
        <w:spacing w:after="0" w:line="21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 xml:space="preserve">The period-over-period increase in the effective income tax rate was due to higher US minimum tax and the absence of US investment tax credits in 2026, partially offset by the effect of rate-regulated accounting for income taxes, mainly driven by the Reaccelerated Investment Incentive Property rules enacted in March 2026 as part of </w:t>
      </w:r>
      <w:r>
        <w:rPr>
          <w:rFonts w:ascii="Arial" w:cs="Arial" w:eastAsia="Arial" w:hAnsi="Arial"/>
          <w:sz w:val="18"/>
          <w:szCs w:val="18"/>
          <w:i w:val="1"/>
          <w:iCs w:val="1"/>
          <w:color w:val="auto"/>
        </w:rPr>
        <w:t>Bill C-15 (45-1), Budget Implementation Act, No. 1</w:t>
      </w:r>
      <w:r>
        <w:rPr>
          <w:rFonts w:ascii="Arial" w:cs="Arial" w:eastAsia="Arial" w:hAnsi="Arial"/>
          <w:sz w:val="18"/>
          <w:szCs w:val="18"/>
          <w:color w:val="auto"/>
        </w:rPr>
        <w:t>, relative to the lower earnings over the comparative period.</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10. OTHER INCOME/(EXPENSE)</w:t>
      </w:r>
    </w:p>
    <w:tbl>
      <w:tblPr>
        <w:tblLayout w:type="fixed"/>
        <w:tblInd w:w="0" w:type="dxa"/>
        <w:tblCellMar>
          <w:top w:w="0" w:type="dxa"/>
          <w:left w:w="0" w:type="dxa"/>
          <w:bottom w:w="0" w:type="dxa"/>
          <w:right w:w="0" w:type="dxa"/>
        </w:tblCellMar>
      </w:tblPr>
      <w:tr>
        <w:trPr>
          <w:trHeight w:val="195"/>
        </w:trPr>
        <w:tc>
          <w:tcPr>
            <w:tcW w:w="8400" w:type="dxa"/>
            <w:vAlign w:val="bottom"/>
          </w:tcPr>
          <w:p>
            <w:pPr>
              <w:spacing w:after="0"/>
              <w:rPr>
                <w:sz w:val="16"/>
                <w:szCs w:val="16"/>
                <w:color w:val="auto"/>
              </w:rPr>
            </w:pPr>
          </w:p>
        </w:tc>
        <w:tc>
          <w:tcPr>
            <w:tcW w:w="2240" w:type="dxa"/>
            <w:vAlign w:val="bottom"/>
            <w:gridSpan w:val="2"/>
          </w:tcPr>
          <w:p>
            <w:pPr>
              <w:jc w:val="center"/>
              <w:ind w:left="370"/>
              <w:spacing w:after="0" w:line="195" w:lineRule="exact"/>
              <w:rPr>
                <w:sz w:val="20"/>
                <w:szCs w:val="20"/>
                <w:color w:val="auto"/>
              </w:rPr>
            </w:pPr>
            <w:r>
              <w:rPr>
                <w:rFonts w:ascii="Arial" w:cs="Arial" w:eastAsia="Arial" w:hAnsi="Arial"/>
                <w:sz w:val="18"/>
                <w:szCs w:val="18"/>
                <w:color w:val="auto"/>
                <w:w w:val="99"/>
              </w:rPr>
              <w:t>Three months ended</w:t>
            </w:r>
          </w:p>
        </w:tc>
        <w:tc>
          <w:tcPr>
            <w:tcW w:w="600" w:type="dxa"/>
            <w:vAlign w:val="bottom"/>
          </w:tcPr>
          <w:p>
            <w:pPr>
              <w:spacing w:after="0"/>
              <w:rPr>
                <w:sz w:val="16"/>
                <w:szCs w:val="16"/>
                <w:color w:val="auto"/>
              </w:rPr>
            </w:pPr>
          </w:p>
        </w:tc>
      </w:tr>
      <w:tr>
        <w:trPr>
          <w:trHeight w:val="221"/>
        </w:trPr>
        <w:tc>
          <w:tcPr>
            <w:tcW w:w="8400" w:type="dxa"/>
            <w:vAlign w:val="bottom"/>
          </w:tcPr>
          <w:p>
            <w:pPr>
              <w:spacing w:after="0"/>
              <w:rPr>
                <w:sz w:val="19"/>
                <w:szCs w:val="19"/>
                <w:color w:val="auto"/>
              </w:rPr>
            </w:pPr>
          </w:p>
        </w:tc>
        <w:tc>
          <w:tcPr>
            <w:tcW w:w="2240" w:type="dxa"/>
            <w:vAlign w:val="bottom"/>
            <w:tcBorders>
              <w:bottom w:val="single" w:sz="8" w:color="auto"/>
            </w:tcBorders>
            <w:gridSpan w:val="2"/>
          </w:tcPr>
          <w:p>
            <w:pPr>
              <w:jc w:val="center"/>
              <w:ind w:left="350"/>
              <w:spacing w:after="0"/>
              <w:rPr>
                <w:sz w:val="20"/>
                <w:szCs w:val="20"/>
                <w:color w:val="auto"/>
              </w:rPr>
            </w:pPr>
            <w:r>
              <w:rPr>
                <w:rFonts w:ascii="Arial" w:cs="Arial" w:eastAsia="Arial" w:hAnsi="Arial"/>
                <w:sz w:val="18"/>
                <w:szCs w:val="18"/>
                <w:color w:val="auto"/>
                <w:w w:val="99"/>
              </w:rPr>
              <w:t>March 31,</w:t>
            </w:r>
          </w:p>
        </w:tc>
        <w:tc>
          <w:tcPr>
            <w:tcW w:w="600" w:type="dxa"/>
            <w:vAlign w:val="bottom"/>
            <w:tcBorders>
              <w:bottom w:val="single" w:sz="8" w:color="auto"/>
            </w:tcBorders>
          </w:tcPr>
          <w:p>
            <w:pPr>
              <w:spacing w:after="0"/>
              <w:rPr>
                <w:sz w:val="19"/>
                <w:szCs w:val="19"/>
                <w:color w:val="auto"/>
              </w:rPr>
            </w:pPr>
          </w:p>
        </w:tc>
      </w:tr>
      <w:tr>
        <w:trPr>
          <w:trHeight w:val="183"/>
        </w:trPr>
        <w:tc>
          <w:tcPr>
            <w:tcW w:w="8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rPr>
              <w:t>2026</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2025</w:t>
            </w:r>
          </w:p>
        </w:tc>
      </w:tr>
      <w:tr>
        <w:trPr>
          <w:trHeight w:val="115"/>
        </w:trPr>
        <w:tc>
          <w:tcPr>
            <w:tcW w:w="840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1400" w:type="dxa"/>
            <w:vAlign w:val="bottom"/>
            <w:shd w:val="clear" w:color="auto" w:fill="DDDDDD"/>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84"/>
        </w:trPr>
        <w:tc>
          <w:tcPr>
            <w:tcW w:w="8400" w:type="dxa"/>
            <w:vAlign w:val="bottom"/>
          </w:tcPr>
          <w:p>
            <w:pPr>
              <w:spacing w:after="0" w:line="183" w:lineRule="exact"/>
              <w:rPr>
                <w:sz w:val="20"/>
                <w:szCs w:val="20"/>
                <w:color w:val="auto"/>
              </w:rPr>
            </w:pPr>
            <w:r>
              <w:rPr>
                <w:rFonts w:ascii="Arial" w:cs="Arial" w:eastAsia="Arial" w:hAnsi="Arial"/>
                <w:sz w:val="18"/>
                <w:szCs w:val="18"/>
                <w:color w:val="auto"/>
              </w:rPr>
              <w:t>Realized foreign currency loss</w:t>
            </w:r>
          </w:p>
        </w:tc>
        <w:tc>
          <w:tcPr>
            <w:tcW w:w="1400" w:type="dxa"/>
            <w:vAlign w:val="bottom"/>
            <w:shd w:val="clear" w:color="auto" w:fill="DDDDDD"/>
          </w:tcPr>
          <w:p>
            <w:pPr>
              <w:jc w:val="right"/>
              <w:spacing w:after="0" w:line="183" w:lineRule="exact"/>
              <w:rPr>
                <w:sz w:val="20"/>
                <w:szCs w:val="20"/>
                <w:color w:val="auto"/>
              </w:rPr>
            </w:pPr>
            <w:r>
              <w:rPr>
                <w:rFonts w:ascii="Arial" w:cs="Arial" w:eastAsia="Arial" w:hAnsi="Arial"/>
                <w:sz w:val="18"/>
                <w:szCs w:val="18"/>
                <w:b w:val="1"/>
                <w:bCs w:val="1"/>
                <w:color w:val="auto"/>
              </w:rPr>
              <w:t>(1)</w:t>
            </w:r>
          </w:p>
        </w:tc>
        <w:tc>
          <w:tcPr>
            <w:tcW w:w="84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8"/>
                <w:szCs w:val="18"/>
                <w:color w:val="auto"/>
              </w:rPr>
              <w:t>(182)</w:t>
            </w:r>
          </w:p>
        </w:tc>
      </w:tr>
      <w:tr>
        <w:trPr>
          <w:trHeight w:val="189"/>
        </w:trPr>
        <w:tc>
          <w:tcPr>
            <w:tcW w:w="8400" w:type="dxa"/>
            <w:vAlign w:val="bottom"/>
          </w:tcPr>
          <w:p>
            <w:pPr>
              <w:spacing w:after="0" w:line="189" w:lineRule="exact"/>
              <w:rPr>
                <w:sz w:val="20"/>
                <w:szCs w:val="20"/>
                <w:color w:val="auto"/>
              </w:rPr>
            </w:pPr>
            <w:r>
              <w:rPr>
                <w:rFonts w:ascii="Arial" w:cs="Arial" w:eastAsia="Arial" w:hAnsi="Arial"/>
                <w:sz w:val="18"/>
                <w:szCs w:val="18"/>
                <w:color w:val="auto"/>
              </w:rPr>
              <w:t>Unrealized foreign currency gain/(loss)</w:t>
            </w:r>
          </w:p>
        </w:tc>
        <w:tc>
          <w:tcPr>
            <w:tcW w:w="140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(437)</w:t>
            </w:r>
          </w:p>
        </w:tc>
        <w:tc>
          <w:tcPr>
            <w:tcW w:w="840" w:type="dxa"/>
            <w:vAlign w:val="bottom"/>
          </w:tcPr>
          <w:p>
            <w:pPr>
              <w:spacing w:after="0"/>
              <w:rPr>
                <w:sz w:val="16"/>
                <w:szCs w:val="16"/>
                <w:color w:val="auto"/>
              </w:rPr>
            </w:pPr>
          </w:p>
        </w:tc>
        <w:tc>
          <w:tcPr>
            <w:tcW w:w="600" w:type="dxa"/>
            <w:vAlign w:val="bottom"/>
          </w:tcPr>
          <w:p>
            <w:pPr>
              <w:jc w:val="right"/>
              <w:ind w:right="50"/>
              <w:spacing w:after="0" w:line="189" w:lineRule="exact"/>
              <w:rPr>
                <w:sz w:val="20"/>
                <w:szCs w:val="20"/>
                <w:color w:val="auto"/>
              </w:rPr>
            </w:pPr>
            <w:r>
              <w:rPr>
                <w:rFonts w:ascii="Arial" w:cs="Arial" w:eastAsia="Arial" w:hAnsi="Arial"/>
                <w:sz w:val="18"/>
                <w:szCs w:val="18"/>
                <w:color w:val="auto"/>
              </w:rPr>
              <w:t>55</w:t>
            </w:r>
          </w:p>
        </w:tc>
      </w:tr>
      <w:tr>
        <w:trPr>
          <w:trHeight w:val="189"/>
        </w:trPr>
        <w:tc>
          <w:tcPr>
            <w:tcW w:w="8400" w:type="dxa"/>
            <w:vAlign w:val="bottom"/>
          </w:tcPr>
          <w:p>
            <w:pPr>
              <w:spacing w:after="0" w:line="189" w:lineRule="exact"/>
              <w:rPr>
                <w:sz w:val="20"/>
                <w:szCs w:val="20"/>
                <w:color w:val="auto"/>
              </w:rPr>
            </w:pPr>
            <w:r>
              <w:rPr>
                <w:rFonts w:ascii="Arial" w:cs="Arial" w:eastAsia="Arial" w:hAnsi="Arial"/>
                <w:sz w:val="18"/>
                <w:szCs w:val="18"/>
                <w:color w:val="auto"/>
              </w:rPr>
              <w:t>Net defined pension and OPEB credit</w:t>
            </w:r>
          </w:p>
        </w:tc>
        <w:tc>
          <w:tcPr>
            <w:tcW w:w="140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69</w:t>
            </w:r>
          </w:p>
        </w:tc>
        <w:tc>
          <w:tcPr>
            <w:tcW w:w="840" w:type="dxa"/>
            <w:vAlign w:val="bottom"/>
          </w:tcPr>
          <w:p>
            <w:pPr>
              <w:spacing w:after="0"/>
              <w:rPr>
                <w:sz w:val="16"/>
                <w:szCs w:val="16"/>
                <w:color w:val="auto"/>
              </w:rPr>
            </w:pPr>
          </w:p>
        </w:tc>
        <w:tc>
          <w:tcPr>
            <w:tcW w:w="600" w:type="dxa"/>
            <w:vAlign w:val="bottom"/>
          </w:tcPr>
          <w:p>
            <w:pPr>
              <w:jc w:val="right"/>
              <w:ind w:right="50"/>
              <w:spacing w:after="0" w:line="189" w:lineRule="exact"/>
              <w:rPr>
                <w:sz w:val="20"/>
                <w:szCs w:val="20"/>
                <w:color w:val="auto"/>
              </w:rPr>
            </w:pPr>
            <w:r>
              <w:rPr>
                <w:rFonts w:ascii="Arial" w:cs="Arial" w:eastAsia="Arial" w:hAnsi="Arial"/>
                <w:sz w:val="18"/>
                <w:szCs w:val="18"/>
                <w:color w:val="auto"/>
              </w:rPr>
              <w:t>72</w:t>
            </w:r>
          </w:p>
        </w:tc>
      </w:tr>
      <w:tr>
        <w:trPr>
          <w:trHeight w:val="221"/>
        </w:trPr>
        <w:tc>
          <w:tcPr>
            <w:tcW w:w="8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shd w:val="clear" w:color="auto" w:fill="DDDDDD"/>
          </w:tcPr>
          <w:p>
            <w:pPr>
              <w:jc w:val="right"/>
              <w:ind w:right="30"/>
              <w:spacing w:after="0"/>
              <w:rPr>
                <w:sz w:val="20"/>
                <w:szCs w:val="20"/>
                <w:color w:val="auto"/>
              </w:rPr>
            </w:pPr>
            <w:r>
              <w:rPr>
                <w:rFonts w:ascii="Arial" w:cs="Arial" w:eastAsia="Arial" w:hAnsi="Arial"/>
                <w:sz w:val="18"/>
                <w:szCs w:val="18"/>
                <w:b w:val="1"/>
                <w:bCs w:val="1"/>
                <w:color w:val="auto"/>
              </w:rPr>
              <w:t>190</w:t>
            </w: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175</w:t>
            </w:r>
          </w:p>
        </w:tc>
      </w:tr>
      <w:tr>
        <w:trPr>
          <w:trHeight w:val="183"/>
        </w:trPr>
        <w:tc>
          <w:tcPr>
            <w:tcW w:w="8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shd w:val="clear" w:color="auto" w:fill="DDDDDD"/>
          </w:tcPr>
          <w:p>
            <w:pPr>
              <w:jc w:val="right"/>
              <w:ind w:right="30"/>
              <w:spacing w:after="0" w:line="182" w:lineRule="exact"/>
              <w:rPr>
                <w:sz w:val="20"/>
                <w:szCs w:val="20"/>
                <w:color w:val="auto"/>
              </w:rPr>
            </w:pPr>
            <w:r>
              <w:rPr>
                <w:rFonts w:ascii="Arial" w:cs="Arial" w:eastAsia="Arial" w:hAnsi="Arial"/>
                <w:sz w:val="18"/>
                <w:szCs w:val="18"/>
                <w:b w:val="1"/>
                <w:bCs w:val="1"/>
                <w:color w:val="auto"/>
              </w:rPr>
              <w:t>(179)</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120</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11. CONTINGENCIES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and our subsidiaries are subject to various legal and regulatory actions and proceedings which arise in the normal course of business, including interventions in regulatory proceedings and challenges to regulatory approvals and permits. While the final outcome of such actions and proceedings cannot be predicted with certainty, management believes that the resolution of such actions and proceedings will not have a material impact on our interim consolidated financial position or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4"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maintain an insurance program for us, our subsidiaries and certain of our affiliates to mitigate a certain portion of our risks. However, not all risks are insurable, or are insured by us. We self-insure a significant portion of certain risks through our wholly-owned captive insurance subsidiary, which requires certain assumptions and management judgment regarding the frequency and severity of claims, claim development and settlement practices and the selection of estimated loss among estimates derived using different methods. Our insurance coverage is also subject to terms and conditions, exclusions and large deductibles or self-insured retentions which may reduce or eliminate coverage in certain circumstances.</w:t>
      </w:r>
    </w:p>
    <w:p>
      <w:pPr>
        <w:spacing w:after="0" w:line="1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insurance policies are generally renewed annually. and premiums, terms, policy limits and/or deductibles can vary substantially based on factors like market conditions. We can give no assurance that we will be able to maintain adequate insurance in the future at rates or on other terms we consider commercially reasonable. In such a case, we may decide to self-insure additional risks.</w:t>
      </w:r>
    </w:p>
    <w:p>
      <w:pPr>
        <w:spacing w:after="0" w:line="169"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In the unlikely event multiple insurable incidents occur which exceed coverage limits within the same insurance period, the total insurance coverage will be allocated among entities on an equitable basis based on an insurance allocation agreement we have entered into with us and other subsidiaries.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ind w:right="660"/>
        <w:spacing w:after="0" w:line="287"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INTRODUCTION</w:t>
      </w:r>
    </w:p>
    <w:p>
      <w:pPr>
        <w:spacing w:after="0" w:line="22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The following discussion and analysis of our financial condition and results of operations is based on and should be read in conjunction with our interim consolidated financial statements and the accompanying notes included in Part I. </w:t>
      </w:r>
      <w:r>
        <w:rPr>
          <w:rFonts w:ascii="Arial" w:cs="Arial" w:eastAsia="Arial" w:hAnsi="Arial"/>
          <w:sz w:val="18"/>
          <w:szCs w:val="18"/>
          <w:i w:val="1"/>
          <w:iCs w:val="1"/>
          <w:color w:val="auto"/>
        </w:rPr>
        <w:t>Item 1. Financial Statements</w:t>
      </w:r>
      <w:r>
        <w:rPr>
          <w:rFonts w:ascii="Arial" w:cs="Arial" w:eastAsia="Arial" w:hAnsi="Arial"/>
          <w:sz w:val="18"/>
          <w:szCs w:val="18"/>
          <w:color w:val="auto"/>
        </w:rPr>
        <w:t xml:space="preserve"> of this quarterly report on Form 10-Q and our consolidated financial statements and the accompanying notes included in Part II. </w:t>
      </w:r>
      <w:r>
        <w:rPr>
          <w:rFonts w:ascii="Arial" w:cs="Arial" w:eastAsia="Arial" w:hAnsi="Arial"/>
          <w:sz w:val="18"/>
          <w:szCs w:val="18"/>
          <w:i w:val="1"/>
          <w:iCs w:val="1"/>
          <w:color w:val="auto"/>
        </w:rPr>
        <w:t>Item 8.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Supplementary Data </w:t>
      </w:r>
      <w:r>
        <w:rPr>
          <w:rFonts w:ascii="Arial" w:cs="Arial" w:eastAsia="Arial" w:hAnsi="Arial"/>
          <w:sz w:val="18"/>
          <w:szCs w:val="18"/>
          <w:color w:val="auto"/>
        </w:rPr>
        <w:t>of our annual report on Form 10-K for the year ended December 31, 2025.</w:t>
      </w:r>
    </w:p>
    <w:p>
      <w:pPr>
        <w:spacing w:after="0" w:line="17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continue to qualify as a foreign private issuer for purposes of the United States Securities Exchange Act of 1934, as amended (Exchange Act), as determined annually as of the end of our second fiscal quarter. We intend to continue to file annual reports on Form 10-K, quarterly reports on Form 10-Q and current reports on Form 8-K with the United States (US) Securities and Exchange Commission (SEC) instead of filing the reporting forms available to foreign private issuers. We also intend to maintain our Form S-3 registration statements.</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RECENT DEVELOPMENTS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 TRANSMISSION RATE PROCEEDINGS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Tennessee</w:t>
      </w:r>
    </w:p>
    <w:p>
      <w:pPr>
        <w:ind w:right="120"/>
        <w:spacing w:after="0" w:line="246" w:lineRule="auto"/>
        <w:rPr>
          <w:sz w:val="20"/>
          <w:szCs w:val="20"/>
          <w:color w:val="auto"/>
        </w:rPr>
      </w:pPr>
      <w:r>
        <w:rPr>
          <w:rFonts w:ascii="Arial" w:cs="Arial" w:eastAsia="Arial" w:hAnsi="Arial"/>
          <w:sz w:val="18"/>
          <w:szCs w:val="18"/>
          <w:color w:val="auto"/>
        </w:rPr>
        <w:t>East Tennessee Natural Gas, LLC (East Tennessee) filed a rate case on April 29, 2025. On May 29, 2025, the Federal Energy Regulatory Commission (FERC) issued an order accepting and suspending tariff records, subject to refund, conditions, and establishing hearing procedures. In compliance with the order, East Tennessee made a filing to implement the rates to be effective November 1, 2025, subject to refund. On April 23, 2026, East Tennessee reached a settlement in principle with all parties in the proceeding. A settlement agreement is expected to be filed with the FERC during the second quarter of 2026 and will be subject to FERC approval.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Maritimes &amp; Northeast</w:t>
      </w:r>
    </w:p>
    <w:p>
      <w:pPr>
        <w:spacing w:after="0" w:line="27"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The toll settlement agreement for Maritimes &amp; Northeast Pipeline Limited Partnership Canada (M&amp;N Canada) expired in December 2025. M&amp;N Canada reached a toll settlement with shippers for the effective period from January 1, 2026 to December 31, 2027. On December 15, 2025, M&amp;N Canada filed the 2026–2027 toll settlement agreement with the Canada Energy Regulator (CER), which was approved on March 10, 2026, as filed.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Vector Pipeline L.P. (Vector) filed a rate case on May 30, 2025. On June 30, 2025, the FERC issued an order accepting and suspending tariff records filed in this rate case. In compliance with the order, Vector placed the proposed tariff rates into effect on July 1, 2025. On July 1, 2025, the chief administrative law judge issued an order consolidating Vector’s outstanding review of rates initiated by the FERC in 2024 with Vector’s May 30, 2025 rate case filing. In February 2026, Vector reached a settlement in principle with all active participants that resolves all issues in the consolidated rate case. On March 4, 2026, Vector filed a motion to place Phase 1 Settlement Rates into effect as of April 1, 2026, which was approved on March 5, 2026. On March 12, 2026, Vector filed the settlement agreement for the FERC's review and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GAS DISTRIBUTION AND STORAGE RATE APPLICATIONS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Enbridge Gas Ontario</w:t>
      </w:r>
    </w:p>
    <w:p>
      <w:pPr>
        <w:spacing w:after="0" w:line="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relation to Enbridge Gas Inc. (Enbridge Gas Ontario)'s application with the Ontario Energy Board (OEB) to establish a 2024-2028 Incentive Regulation rate setting framework, undertaken in three phases, Enbridge Gas Ontario continues to appeal the OEB's Phase 1 findings on depreciation, equity thickness, and undepreciated capital through Ontario courts, with hearing dates scheduled in 2026.</w:t>
      </w:r>
    </w:p>
    <w:p>
      <w:pPr>
        <w:spacing w:after="0" w:line="17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March 2026, the OEB issued a decision approving the settlement proposal for Phase 3 of Enbridge Gas Ontario's application, which addressed cost allocation and the harmonization of rates, rate classes, and services. The remaining non-ratemaking Phase 3 matters will be addressed through a written hearing process, with a decision expected in 2026. The implementation of Phase 3, which is anticipated to occur in 2027, is not expected to impact earnings.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UPDATE</w:t>
      </w:r>
    </w:p>
    <w:p>
      <w:pPr>
        <w:spacing w:after="0" w:line="27"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In February 2026, we closed a three-tranche offering consisting of five, ten and thirty-year medium-term notes, for an aggregate principal amount of $2.0 billion, which mature in February 2031, 2036, and 2056, respectively.</w:t>
      </w:r>
    </w:p>
    <w:p>
      <w:pPr>
        <w:spacing w:after="0" w:line="172"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In March 2026, we closed a two-tranche offering consisting of five and ten-year senior notes for an aggregate principal amount of US$2.0 billion, which mature in March 2031 and 2036, respectively.</w:t>
      </w:r>
    </w:p>
    <w:p>
      <w:pPr>
        <w:spacing w:after="0" w:line="154"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These financing activities, in combination with the financing activities executed in 2025, provide significant liquidity that we expect will enable us to fund our current portfolio of capital projects and other operating working capital requirements through potential periods of extended market disruption without requiring access to the capital markets, should market access be restricted or pricing be unattractive. Refer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RESULTS OF OPERATIONS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tcPr>
          <w:p>
            <w:pPr>
              <w:spacing w:after="0"/>
              <w:rPr>
                <w:sz w:val="18"/>
                <w:szCs w:val="18"/>
                <w:color w:val="auto"/>
              </w:rPr>
            </w:pPr>
          </w:p>
        </w:tc>
        <w:tc>
          <w:tcPr>
            <w:tcW w:w="2680" w:type="dxa"/>
            <w:vAlign w:val="bottom"/>
            <w:gridSpan w:val="3"/>
          </w:tcPr>
          <w:p>
            <w:pPr>
              <w:jc w:val="center"/>
              <w:ind w:right="50"/>
              <w:spacing w:after="0"/>
              <w:rPr>
                <w:sz w:val="20"/>
                <w:szCs w:val="20"/>
                <w:color w:val="auto"/>
              </w:rPr>
            </w:pPr>
            <w:r>
              <w:rPr>
                <w:rFonts w:ascii="Arial" w:cs="Arial" w:eastAsia="Arial" w:hAnsi="Arial"/>
                <w:sz w:val="18"/>
                <w:szCs w:val="18"/>
                <w:color w:val="auto"/>
                <w:w w:val="99"/>
              </w:rPr>
              <w:t>Three months ended</w:t>
            </w:r>
          </w:p>
        </w:tc>
      </w:tr>
      <w:tr>
        <w:trPr>
          <w:trHeight w:val="221"/>
        </w:trPr>
        <w:tc>
          <w:tcPr>
            <w:tcW w:w="8560" w:type="dxa"/>
            <w:vAlign w:val="bottom"/>
          </w:tcPr>
          <w:p>
            <w:pPr>
              <w:spacing w:after="0"/>
              <w:rPr>
                <w:sz w:val="19"/>
                <w:szCs w:val="19"/>
                <w:color w:val="auto"/>
              </w:rPr>
            </w:pPr>
          </w:p>
        </w:tc>
        <w:tc>
          <w:tcPr>
            <w:tcW w:w="186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color w:val="auto"/>
                <w:w w:val="99"/>
              </w:rPr>
              <w:t>March 31,</w:t>
            </w:r>
          </w:p>
        </w:tc>
        <w:tc>
          <w:tcPr>
            <w:tcW w:w="820" w:type="dxa"/>
            <w:vAlign w:val="bottom"/>
            <w:tcBorders>
              <w:bottom w:val="single" w:sz="8" w:color="auto"/>
            </w:tcBorders>
          </w:tcPr>
          <w:p>
            <w:pPr>
              <w:spacing w:after="0"/>
              <w:rPr>
                <w:sz w:val="19"/>
                <w:szCs w:val="19"/>
                <w:color w:val="auto"/>
              </w:rPr>
            </w:pPr>
          </w:p>
        </w:tc>
      </w:tr>
      <w:tr>
        <w:trPr>
          <w:trHeight w:val="183"/>
        </w:trPr>
        <w:tc>
          <w:tcPr>
            <w:tcW w:w="8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rPr>
              <w:t>2026</w:t>
            </w: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2025</w:t>
            </w:r>
          </w:p>
        </w:tc>
      </w:tr>
      <w:tr>
        <w:trPr>
          <w:trHeight w:val="123"/>
        </w:trPr>
        <w:tc>
          <w:tcPr>
            <w:tcW w:w="8560" w:type="dxa"/>
            <w:vAlign w:val="bottom"/>
          </w:tcPr>
          <w:p>
            <w:pPr>
              <w:spacing w:after="0" w:line="123" w:lineRule="exact"/>
              <w:rPr>
                <w:sz w:val="20"/>
                <w:szCs w:val="20"/>
                <w:color w:val="auto"/>
              </w:rPr>
            </w:pPr>
            <w:r>
              <w:rPr>
                <w:rFonts w:ascii="Arial" w:cs="Arial" w:eastAsia="Arial" w:hAnsi="Arial"/>
                <w:sz w:val="14"/>
                <w:szCs w:val="14"/>
                <w:i w:val="1"/>
                <w:iCs w:val="1"/>
                <w:color w:val="auto"/>
              </w:rPr>
              <w:t>(millions of Canadian dollars, except per share amounts)</w:t>
            </w:r>
          </w:p>
        </w:tc>
        <w:tc>
          <w:tcPr>
            <w:tcW w:w="1320" w:type="dxa"/>
            <w:vAlign w:val="bottom"/>
            <w:shd w:val="clear" w:color="auto" w:fill="DDDDDD"/>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b w:val="1"/>
                <w:bCs w:val="1"/>
                <w:color w:val="auto"/>
              </w:rPr>
              <w:t>Segment earnings/(loss) before interest, income taxes and depreciation and amortization</w:t>
            </w:r>
            <w:r>
              <w:rPr>
                <w:rFonts w:ascii="Arial" w:cs="Arial" w:eastAsia="Arial" w:hAnsi="Arial"/>
                <w:sz w:val="9"/>
                <w:szCs w:val="9"/>
                <w:b w:val="1"/>
                <w:bCs w:val="1"/>
                <w:color w:val="auto"/>
              </w:rPr>
              <w:t>1</w:t>
            </w:r>
          </w:p>
        </w:tc>
        <w:tc>
          <w:tcPr>
            <w:tcW w:w="1320" w:type="dxa"/>
            <w:vAlign w:val="bottom"/>
            <w:shd w:val="clear" w:color="auto" w:fill="DDDDDD"/>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89"/>
        </w:trPr>
        <w:tc>
          <w:tcPr>
            <w:tcW w:w="8560" w:type="dxa"/>
            <w:vAlign w:val="bottom"/>
          </w:tcPr>
          <w:p>
            <w:pPr>
              <w:ind w:left="120"/>
              <w:spacing w:after="0" w:line="189" w:lineRule="exact"/>
              <w:rPr>
                <w:sz w:val="20"/>
                <w:szCs w:val="20"/>
                <w:color w:val="auto"/>
              </w:rPr>
            </w:pPr>
            <w:r>
              <w:rPr>
                <w:rFonts w:ascii="Arial" w:cs="Arial" w:eastAsia="Arial" w:hAnsi="Arial"/>
                <w:sz w:val="18"/>
                <w:szCs w:val="18"/>
                <w:color w:val="auto"/>
              </w:rPr>
              <w:t>Liquids Pipelines</w:t>
            </w:r>
          </w:p>
        </w:tc>
        <w:tc>
          <w:tcPr>
            <w:tcW w:w="132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1,957</w:t>
            </w:r>
          </w:p>
        </w:tc>
        <w:tc>
          <w:tcPr>
            <w:tcW w:w="540" w:type="dxa"/>
            <w:vAlign w:val="bottom"/>
          </w:tcPr>
          <w:p>
            <w:pPr>
              <w:spacing w:after="0"/>
              <w:rPr>
                <w:sz w:val="16"/>
                <w:szCs w:val="16"/>
                <w:color w:val="auto"/>
              </w:rPr>
            </w:pPr>
          </w:p>
        </w:tc>
        <w:tc>
          <w:tcPr>
            <w:tcW w:w="820" w:type="dxa"/>
            <w:vAlign w:val="bottom"/>
          </w:tcPr>
          <w:p>
            <w:pPr>
              <w:jc w:val="right"/>
              <w:ind w:right="50"/>
              <w:spacing w:after="0" w:line="189" w:lineRule="exact"/>
              <w:rPr>
                <w:sz w:val="20"/>
                <w:szCs w:val="20"/>
                <w:color w:val="auto"/>
              </w:rPr>
            </w:pPr>
            <w:r>
              <w:rPr>
                <w:rFonts w:ascii="Arial" w:cs="Arial" w:eastAsia="Arial" w:hAnsi="Arial"/>
                <w:sz w:val="18"/>
                <w:szCs w:val="18"/>
                <w:color w:val="auto"/>
              </w:rPr>
              <w:t>2,593</w:t>
            </w:r>
          </w:p>
        </w:tc>
      </w:tr>
      <w:tr>
        <w:trPr>
          <w:trHeight w:val="189"/>
        </w:trPr>
        <w:tc>
          <w:tcPr>
            <w:tcW w:w="8560" w:type="dxa"/>
            <w:vAlign w:val="bottom"/>
          </w:tcPr>
          <w:p>
            <w:pPr>
              <w:ind w:left="120"/>
              <w:spacing w:after="0" w:line="189" w:lineRule="exact"/>
              <w:rPr>
                <w:sz w:val="20"/>
                <w:szCs w:val="20"/>
                <w:color w:val="auto"/>
              </w:rPr>
            </w:pPr>
            <w:r>
              <w:rPr>
                <w:rFonts w:ascii="Arial" w:cs="Arial" w:eastAsia="Arial" w:hAnsi="Arial"/>
                <w:sz w:val="18"/>
                <w:szCs w:val="18"/>
                <w:color w:val="auto"/>
              </w:rPr>
              <w:t>Gas Transmission</w:t>
            </w:r>
          </w:p>
        </w:tc>
        <w:tc>
          <w:tcPr>
            <w:tcW w:w="132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1,570</w:t>
            </w:r>
          </w:p>
        </w:tc>
        <w:tc>
          <w:tcPr>
            <w:tcW w:w="540" w:type="dxa"/>
            <w:vAlign w:val="bottom"/>
          </w:tcPr>
          <w:p>
            <w:pPr>
              <w:spacing w:after="0"/>
              <w:rPr>
                <w:sz w:val="16"/>
                <w:szCs w:val="16"/>
                <w:color w:val="auto"/>
              </w:rPr>
            </w:pPr>
          </w:p>
        </w:tc>
        <w:tc>
          <w:tcPr>
            <w:tcW w:w="820" w:type="dxa"/>
            <w:vAlign w:val="bottom"/>
          </w:tcPr>
          <w:p>
            <w:pPr>
              <w:jc w:val="right"/>
              <w:ind w:right="50"/>
              <w:spacing w:after="0" w:line="189" w:lineRule="exact"/>
              <w:rPr>
                <w:sz w:val="20"/>
                <w:szCs w:val="20"/>
                <w:color w:val="auto"/>
              </w:rPr>
            </w:pPr>
            <w:r>
              <w:rPr>
                <w:rFonts w:ascii="Arial" w:cs="Arial" w:eastAsia="Arial" w:hAnsi="Arial"/>
                <w:sz w:val="18"/>
                <w:szCs w:val="18"/>
                <w:color w:val="auto"/>
              </w:rPr>
              <w:t>1,473</w:t>
            </w:r>
          </w:p>
        </w:tc>
      </w:tr>
      <w:tr>
        <w:trPr>
          <w:trHeight w:val="189"/>
        </w:trPr>
        <w:tc>
          <w:tcPr>
            <w:tcW w:w="8560" w:type="dxa"/>
            <w:vAlign w:val="bottom"/>
          </w:tcPr>
          <w:p>
            <w:pPr>
              <w:ind w:left="120"/>
              <w:spacing w:after="0" w:line="189" w:lineRule="exact"/>
              <w:rPr>
                <w:sz w:val="20"/>
                <w:szCs w:val="20"/>
                <w:color w:val="auto"/>
              </w:rPr>
            </w:pPr>
            <w:r>
              <w:rPr>
                <w:rFonts w:ascii="Arial" w:cs="Arial" w:eastAsia="Arial" w:hAnsi="Arial"/>
                <w:sz w:val="18"/>
                <w:szCs w:val="18"/>
                <w:color w:val="auto"/>
              </w:rPr>
              <w:t>Gas Distribution and Storage</w:t>
            </w:r>
          </w:p>
        </w:tc>
        <w:tc>
          <w:tcPr>
            <w:tcW w:w="132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1,709</w:t>
            </w:r>
          </w:p>
        </w:tc>
        <w:tc>
          <w:tcPr>
            <w:tcW w:w="540" w:type="dxa"/>
            <w:vAlign w:val="bottom"/>
          </w:tcPr>
          <w:p>
            <w:pPr>
              <w:spacing w:after="0"/>
              <w:rPr>
                <w:sz w:val="16"/>
                <w:szCs w:val="16"/>
                <w:color w:val="auto"/>
              </w:rPr>
            </w:pPr>
          </w:p>
        </w:tc>
        <w:tc>
          <w:tcPr>
            <w:tcW w:w="820" w:type="dxa"/>
            <w:vAlign w:val="bottom"/>
          </w:tcPr>
          <w:p>
            <w:pPr>
              <w:jc w:val="right"/>
              <w:ind w:right="50"/>
              <w:spacing w:after="0" w:line="189" w:lineRule="exact"/>
              <w:rPr>
                <w:sz w:val="20"/>
                <w:szCs w:val="20"/>
                <w:color w:val="auto"/>
              </w:rPr>
            </w:pPr>
            <w:r>
              <w:rPr>
                <w:rFonts w:ascii="Arial" w:cs="Arial" w:eastAsia="Arial" w:hAnsi="Arial"/>
                <w:sz w:val="18"/>
                <w:szCs w:val="18"/>
                <w:color w:val="auto"/>
              </w:rPr>
              <w:t>1,600</w:t>
            </w:r>
          </w:p>
        </w:tc>
      </w:tr>
      <w:tr>
        <w:trPr>
          <w:trHeight w:val="189"/>
        </w:trPr>
        <w:tc>
          <w:tcPr>
            <w:tcW w:w="8560" w:type="dxa"/>
            <w:vAlign w:val="bottom"/>
          </w:tcPr>
          <w:p>
            <w:pPr>
              <w:ind w:left="120"/>
              <w:spacing w:after="0" w:line="189" w:lineRule="exact"/>
              <w:rPr>
                <w:sz w:val="20"/>
                <w:szCs w:val="20"/>
                <w:color w:val="auto"/>
              </w:rPr>
            </w:pPr>
            <w:r>
              <w:rPr>
                <w:rFonts w:ascii="Arial" w:cs="Arial" w:eastAsia="Arial" w:hAnsi="Arial"/>
                <w:sz w:val="18"/>
                <w:szCs w:val="18"/>
                <w:color w:val="auto"/>
              </w:rPr>
              <w:t>Renewable Power Generation</w:t>
            </w:r>
          </w:p>
        </w:tc>
        <w:tc>
          <w:tcPr>
            <w:tcW w:w="132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188</w:t>
            </w:r>
          </w:p>
        </w:tc>
        <w:tc>
          <w:tcPr>
            <w:tcW w:w="540" w:type="dxa"/>
            <w:vAlign w:val="bottom"/>
          </w:tcPr>
          <w:p>
            <w:pPr>
              <w:spacing w:after="0"/>
              <w:rPr>
                <w:sz w:val="16"/>
                <w:szCs w:val="16"/>
                <w:color w:val="auto"/>
              </w:rPr>
            </w:pPr>
          </w:p>
        </w:tc>
        <w:tc>
          <w:tcPr>
            <w:tcW w:w="820" w:type="dxa"/>
            <w:vAlign w:val="bottom"/>
          </w:tcPr>
          <w:p>
            <w:pPr>
              <w:jc w:val="right"/>
              <w:ind w:right="50"/>
              <w:spacing w:after="0" w:line="189" w:lineRule="exact"/>
              <w:rPr>
                <w:sz w:val="20"/>
                <w:szCs w:val="20"/>
                <w:color w:val="auto"/>
              </w:rPr>
            </w:pPr>
            <w:r>
              <w:rPr>
                <w:rFonts w:ascii="Arial" w:cs="Arial" w:eastAsia="Arial" w:hAnsi="Arial"/>
                <w:sz w:val="18"/>
                <w:szCs w:val="18"/>
                <w:color w:val="auto"/>
              </w:rPr>
              <w:t>223</w:t>
            </w:r>
          </w:p>
        </w:tc>
      </w:tr>
      <w:tr>
        <w:trPr>
          <w:trHeight w:val="221"/>
        </w:trPr>
        <w:tc>
          <w:tcPr>
            <w:tcW w:w="85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Eliminations and Other</w:t>
            </w:r>
          </w:p>
        </w:tc>
        <w:tc>
          <w:tcPr>
            <w:tcW w:w="1320" w:type="dxa"/>
            <w:vAlign w:val="bottom"/>
            <w:tcBorders>
              <w:bottom w:val="single" w:sz="8" w:color="auto"/>
            </w:tcBorders>
            <w:shd w:val="clear" w:color="auto" w:fill="DDDDDD"/>
          </w:tcPr>
          <w:p>
            <w:pPr>
              <w:jc w:val="right"/>
              <w:ind w:right="30"/>
              <w:spacing w:after="0"/>
              <w:rPr>
                <w:sz w:val="20"/>
                <w:szCs w:val="20"/>
                <w:color w:val="auto"/>
              </w:rPr>
            </w:pPr>
            <w:r>
              <w:rPr>
                <w:rFonts w:ascii="Arial" w:cs="Arial" w:eastAsia="Arial" w:hAnsi="Arial"/>
                <w:sz w:val="18"/>
                <w:szCs w:val="18"/>
                <w:b w:val="1"/>
                <w:bCs w:val="1"/>
                <w:color w:val="auto"/>
              </w:rPr>
              <w:t>(404)</w:t>
            </w: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w:t>
            </w:r>
          </w:p>
        </w:tc>
      </w:tr>
      <w:tr>
        <w:trPr>
          <w:trHeight w:val="150"/>
        </w:trPr>
        <w:tc>
          <w:tcPr>
            <w:tcW w:w="8560" w:type="dxa"/>
            <w:vAlign w:val="bottom"/>
          </w:tcPr>
          <w:p>
            <w:pPr>
              <w:spacing w:after="0" w:line="150" w:lineRule="exact"/>
              <w:rPr>
                <w:sz w:val="20"/>
                <w:szCs w:val="20"/>
                <w:color w:val="auto"/>
              </w:rPr>
            </w:pPr>
            <w:r>
              <w:rPr>
                <w:rFonts w:ascii="Arial" w:cs="Arial" w:eastAsia="Arial" w:hAnsi="Arial"/>
                <w:sz w:val="17"/>
                <w:szCs w:val="17"/>
                <w:b w:val="1"/>
                <w:bCs w:val="1"/>
                <w:color w:val="auto"/>
              </w:rPr>
              <w:t>Earnings before interest, income taxes and depreciation and amortization</w:t>
            </w:r>
            <w:r>
              <w:rPr>
                <w:rFonts w:ascii="Arial" w:cs="Arial" w:eastAsia="Arial" w:hAnsi="Arial"/>
                <w:sz w:val="9"/>
                <w:szCs w:val="9"/>
                <w:b w:val="1"/>
                <w:bCs w:val="1"/>
                <w:color w:val="auto"/>
              </w:rPr>
              <w:t>1</w:t>
            </w:r>
          </w:p>
        </w:tc>
        <w:tc>
          <w:tcPr>
            <w:tcW w:w="1320" w:type="dxa"/>
            <w:vAlign w:val="bottom"/>
            <w:shd w:val="clear" w:color="auto" w:fill="DDDDDD"/>
          </w:tcPr>
          <w:p>
            <w:pPr>
              <w:jc w:val="right"/>
              <w:ind w:right="30"/>
              <w:spacing w:after="0" w:line="150" w:lineRule="exact"/>
              <w:rPr>
                <w:sz w:val="20"/>
                <w:szCs w:val="20"/>
                <w:color w:val="auto"/>
              </w:rPr>
            </w:pPr>
            <w:r>
              <w:rPr>
                <w:rFonts w:ascii="Arial" w:cs="Arial" w:eastAsia="Arial" w:hAnsi="Arial"/>
                <w:sz w:val="17"/>
                <w:szCs w:val="17"/>
                <w:b w:val="1"/>
                <w:bCs w:val="1"/>
                <w:color w:val="auto"/>
              </w:rPr>
              <w:t>5,020</w:t>
            </w:r>
          </w:p>
        </w:tc>
        <w:tc>
          <w:tcPr>
            <w:tcW w:w="540" w:type="dxa"/>
            <w:vAlign w:val="bottom"/>
          </w:tcPr>
          <w:p>
            <w:pPr>
              <w:spacing w:after="0"/>
              <w:rPr>
                <w:sz w:val="13"/>
                <w:szCs w:val="13"/>
                <w:color w:val="auto"/>
              </w:rPr>
            </w:pPr>
          </w:p>
        </w:tc>
        <w:tc>
          <w:tcPr>
            <w:tcW w:w="820" w:type="dxa"/>
            <w:vAlign w:val="bottom"/>
          </w:tcPr>
          <w:p>
            <w:pPr>
              <w:jc w:val="right"/>
              <w:ind w:right="50"/>
              <w:spacing w:after="0" w:line="150" w:lineRule="exact"/>
              <w:rPr>
                <w:sz w:val="20"/>
                <w:szCs w:val="20"/>
                <w:color w:val="auto"/>
              </w:rPr>
            </w:pPr>
            <w:r>
              <w:rPr>
                <w:rFonts w:ascii="Arial" w:cs="Arial" w:eastAsia="Arial" w:hAnsi="Arial"/>
                <w:sz w:val="17"/>
                <w:szCs w:val="17"/>
                <w:color w:val="auto"/>
              </w:rPr>
              <w:t>5,929</w:t>
            </w:r>
          </w:p>
        </w:tc>
      </w:tr>
      <w:tr>
        <w:trPr>
          <w:trHeight w:val="189"/>
        </w:trPr>
        <w:tc>
          <w:tcPr>
            <w:tcW w:w="8560" w:type="dxa"/>
            <w:vAlign w:val="bottom"/>
          </w:tcPr>
          <w:p>
            <w:pPr>
              <w:ind w:left="120"/>
              <w:spacing w:after="0" w:line="189" w:lineRule="exact"/>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(1,433)</w:t>
            </w:r>
          </w:p>
        </w:tc>
        <w:tc>
          <w:tcPr>
            <w:tcW w:w="5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(1,408)</w:t>
            </w:r>
          </w:p>
        </w:tc>
      </w:tr>
      <w:tr>
        <w:trPr>
          <w:trHeight w:val="189"/>
        </w:trPr>
        <w:tc>
          <w:tcPr>
            <w:tcW w:w="8560" w:type="dxa"/>
            <w:vAlign w:val="bottom"/>
          </w:tcPr>
          <w:p>
            <w:pPr>
              <w:ind w:left="120"/>
              <w:spacing w:after="0" w:line="189" w:lineRule="exact"/>
              <w:rPr>
                <w:sz w:val="20"/>
                <w:szCs w:val="20"/>
                <w:color w:val="auto"/>
              </w:rPr>
            </w:pPr>
            <w:r>
              <w:rPr>
                <w:rFonts w:ascii="Arial" w:cs="Arial" w:eastAsia="Arial" w:hAnsi="Arial"/>
                <w:sz w:val="18"/>
                <w:szCs w:val="18"/>
                <w:color w:val="auto"/>
              </w:rPr>
              <w:t>Interest expense</w:t>
            </w:r>
          </w:p>
        </w:tc>
        <w:tc>
          <w:tcPr>
            <w:tcW w:w="132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(1,222)</w:t>
            </w:r>
          </w:p>
        </w:tc>
        <w:tc>
          <w:tcPr>
            <w:tcW w:w="5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(1,334)</w:t>
            </w:r>
          </w:p>
        </w:tc>
      </w:tr>
      <w:tr>
        <w:trPr>
          <w:trHeight w:val="189"/>
        </w:trPr>
        <w:tc>
          <w:tcPr>
            <w:tcW w:w="8560" w:type="dxa"/>
            <w:vAlign w:val="bottom"/>
          </w:tcPr>
          <w:p>
            <w:pPr>
              <w:ind w:left="120"/>
              <w:spacing w:after="0" w:line="189" w:lineRule="exact"/>
              <w:rPr>
                <w:sz w:val="20"/>
                <w:szCs w:val="20"/>
                <w:color w:val="auto"/>
              </w:rPr>
            </w:pPr>
            <w:r>
              <w:rPr>
                <w:rFonts w:ascii="Arial" w:cs="Arial" w:eastAsia="Arial" w:hAnsi="Arial"/>
                <w:sz w:val="18"/>
                <w:szCs w:val="18"/>
                <w:color w:val="auto"/>
              </w:rPr>
              <w:t>Income tax expense</w:t>
            </w:r>
          </w:p>
        </w:tc>
        <w:tc>
          <w:tcPr>
            <w:tcW w:w="132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(587)</w:t>
            </w:r>
          </w:p>
        </w:tc>
        <w:tc>
          <w:tcPr>
            <w:tcW w:w="5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(697)</w:t>
            </w:r>
          </w:p>
        </w:tc>
      </w:tr>
      <w:tr>
        <w:trPr>
          <w:trHeight w:val="189"/>
        </w:trPr>
        <w:tc>
          <w:tcPr>
            <w:tcW w:w="8560" w:type="dxa"/>
            <w:vAlign w:val="bottom"/>
          </w:tcPr>
          <w:p>
            <w:pPr>
              <w:ind w:left="120"/>
              <w:spacing w:after="0" w:line="189" w:lineRule="exact"/>
              <w:rPr>
                <w:sz w:val="20"/>
                <w:szCs w:val="20"/>
                <w:color w:val="auto"/>
              </w:rPr>
            </w:pPr>
            <w:r>
              <w:rPr>
                <w:rFonts w:ascii="Arial" w:cs="Arial" w:eastAsia="Arial" w:hAnsi="Arial"/>
                <w:sz w:val="18"/>
                <w:szCs w:val="18"/>
                <w:color w:val="auto"/>
              </w:rPr>
              <w:t>Earnings attributable to noncontrolling interests and redeemable noncontrolling interest</w:t>
            </w:r>
          </w:p>
        </w:tc>
        <w:tc>
          <w:tcPr>
            <w:tcW w:w="132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(126)</w:t>
            </w:r>
          </w:p>
        </w:tc>
      </w:tr>
      <w:tr>
        <w:trPr>
          <w:trHeight w:val="221"/>
        </w:trPr>
        <w:tc>
          <w:tcPr>
            <w:tcW w:w="85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Preference share dividends</w:t>
            </w:r>
          </w:p>
        </w:tc>
        <w:tc>
          <w:tcPr>
            <w:tcW w:w="1320" w:type="dxa"/>
            <w:vAlign w:val="bottom"/>
            <w:tcBorders>
              <w:bottom w:val="single" w:sz="8" w:color="auto"/>
            </w:tcBorders>
            <w:shd w:val="clear" w:color="auto" w:fill="DDDDDD"/>
          </w:tcPr>
          <w:p>
            <w:pPr>
              <w:jc w:val="right"/>
              <w:ind w:right="30"/>
              <w:spacing w:after="0"/>
              <w:rPr>
                <w:sz w:val="20"/>
                <w:szCs w:val="20"/>
                <w:color w:val="auto"/>
              </w:rPr>
            </w:pPr>
            <w:r>
              <w:rPr>
                <w:rFonts w:ascii="Arial" w:cs="Arial" w:eastAsia="Arial" w:hAnsi="Arial"/>
                <w:sz w:val="18"/>
                <w:szCs w:val="18"/>
                <w:b w:val="1"/>
                <w:bCs w:val="1"/>
                <w:color w:val="auto"/>
              </w:rPr>
              <w:t>(107)</w:t>
            </w: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183"/>
        </w:trPr>
        <w:tc>
          <w:tcPr>
            <w:tcW w:w="85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Earnings attributable to common shareholders</w:t>
            </w:r>
          </w:p>
        </w:tc>
        <w:tc>
          <w:tcPr>
            <w:tcW w:w="1320" w:type="dxa"/>
            <w:vAlign w:val="bottom"/>
            <w:tcBorders>
              <w:bottom w:val="single" w:sz="8" w:color="auto"/>
            </w:tcBorders>
            <w:shd w:val="clear" w:color="auto" w:fill="DDDDDD"/>
          </w:tcPr>
          <w:p>
            <w:pPr>
              <w:jc w:val="right"/>
              <w:ind w:right="30"/>
              <w:spacing w:after="0" w:line="182" w:lineRule="exact"/>
              <w:rPr>
                <w:sz w:val="20"/>
                <w:szCs w:val="20"/>
                <w:color w:val="auto"/>
              </w:rPr>
            </w:pPr>
            <w:r>
              <w:rPr>
                <w:rFonts w:ascii="Arial" w:cs="Arial" w:eastAsia="Arial" w:hAnsi="Arial"/>
                <w:sz w:val="18"/>
                <w:szCs w:val="18"/>
                <w:b w:val="1"/>
                <w:bCs w:val="1"/>
                <w:color w:val="auto"/>
              </w:rPr>
              <w:t>1,671</w:t>
            </w: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2,261</w:t>
            </w:r>
          </w:p>
        </w:tc>
      </w:tr>
      <w:tr>
        <w:trPr>
          <w:trHeight w:val="183"/>
        </w:trPr>
        <w:tc>
          <w:tcPr>
            <w:tcW w:w="85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Earnings per common share attributable to common shareholders</w:t>
            </w:r>
          </w:p>
        </w:tc>
        <w:tc>
          <w:tcPr>
            <w:tcW w:w="1320" w:type="dxa"/>
            <w:vAlign w:val="bottom"/>
            <w:tcBorders>
              <w:bottom w:val="single" w:sz="8" w:color="auto"/>
            </w:tcBorders>
            <w:shd w:val="clear" w:color="auto" w:fill="DDDDDD"/>
          </w:tcPr>
          <w:p>
            <w:pPr>
              <w:jc w:val="right"/>
              <w:ind w:right="30"/>
              <w:spacing w:after="0" w:line="182" w:lineRule="exact"/>
              <w:rPr>
                <w:sz w:val="20"/>
                <w:szCs w:val="20"/>
                <w:color w:val="auto"/>
              </w:rPr>
            </w:pPr>
            <w:r>
              <w:rPr>
                <w:rFonts w:ascii="Arial" w:cs="Arial" w:eastAsia="Arial" w:hAnsi="Arial"/>
                <w:sz w:val="18"/>
                <w:szCs w:val="18"/>
                <w:b w:val="1"/>
                <w:bCs w:val="1"/>
                <w:color w:val="auto"/>
              </w:rPr>
              <w:t>0.77</w:t>
            </w: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1.04</w:t>
            </w:r>
          </w:p>
        </w:tc>
      </w:tr>
      <w:tr>
        <w:trPr>
          <w:trHeight w:val="183"/>
        </w:trPr>
        <w:tc>
          <w:tcPr>
            <w:tcW w:w="85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Diluted earnings per common share attributable to common shareholders</w:t>
            </w:r>
          </w:p>
        </w:tc>
        <w:tc>
          <w:tcPr>
            <w:tcW w:w="1320" w:type="dxa"/>
            <w:vAlign w:val="bottom"/>
            <w:tcBorders>
              <w:bottom w:val="single" w:sz="8" w:color="auto"/>
            </w:tcBorders>
            <w:shd w:val="clear" w:color="auto" w:fill="DDDDDD"/>
          </w:tcPr>
          <w:p>
            <w:pPr>
              <w:jc w:val="right"/>
              <w:ind w:right="30"/>
              <w:spacing w:after="0" w:line="182" w:lineRule="exact"/>
              <w:rPr>
                <w:sz w:val="20"/>
                <w:szCs w:val="20"/>
                <w:color w:val="auto"/>
              </w:rPr>
            </w:pPr>
            <w:r>
              <w:rPr>
                <w:rFonts w:ascii="Arial" w:cs="Arial" w:eastAsia="Arial" w:hAnsi="Arial"/>
                <w:sz w:val="18"/>
                <w:szCs w:val="18"/>
                <w:b w:val="1"/>
                <w:bCs w:val="1"/>
                <w:color w:val="auto"/>
              </w:rPr>
              <w:t>0.76</w:t>
            </w: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1.03</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1  Non-GAAP financial measure. Refer to </w:t>
      </w:r>
      <w:r>
        <w:rPr>
          <w:rFonts w:ascii="Arial" w:cs="Arial" w:eastAsia="Arial" w:hAnsi="Arial"/>
          <w:sz w:val="14"/>
          <w:szCs w:val="14"/>
          <w:color w:val="auto"/>
        </w:rPr>
        <w:t>Non-GAAP and Other Financial Measures</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EARNINGS ATTRIBUTABLE TO COMMON SHAREHOLDERS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2026, compared with the three months ended March 31, 2025</w:t>
      </w:r>
    </w:p>
    <w:p>
      <w:pPr>
        <w:spacing w:after="0" w:line="194"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Earnings attributable to common shareholders were negatively impacted by $478 million due to certain infrequent or other non-operating factors, primarily explained by:</w:t>
      </w:r>
    </w:p>
    <w:p>
      <w:pPr>
        <w:sectPr>
          <w:pgSz w:w="11900" w:h="16838" w:orient="portrait"/>
          <w:cols w:equalWidth="0" w:num="1">
            <w:col w:w="11240"/>
          </w:cols>
          <w:pgMar w:left="320" w:top="1417" w:right="339" w:bottom="1440" w:gutter="0" w:footer="0" w:header="0"/>
        </w:sectPr>
      </w:pP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 non-cash, net unrealized derivative fair value loss of $743 million ($ 571 million after-tax) in 2026, compared with a net unrealized loss of $17 million ($ 13 million after-tax) in 2025, reflecting changes in the mark-to-market value of derivative financial instruments used to manage foreign exchange, interest rate and commodity price risks; partially offset by</w:t>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earnings attributable to noncontrolling interests of $84 million ($ 66 million after-tax) as a result of increased allocation of non-cash losses to our partner at the Chapman Ranch Wind Farm, reflecting the application of contractual arrangements.</w:t>
      </w:r>
    </w:p>
    <w:p>
      <w:pPr>
        <w:spacing w:after="0" w:line="172" w:lineRule="exact"/>
        <w:rPr>
          <w:sz w:val="20"/>
          <w:szCs w:val="20"/>
          <w:color w:val="auto"/>
        </w:rPr>
      </w:pPr>
    </w:p>
    <w:p>
      <w:pPr>
        <w:sectPr>
          <w:pgSz w:w="11900" w:h="16838" w:orient="portrait"/>
          <w:cols w:equalWidth="0" w:num="2">
            <w:col w:w="240" w:space="140"/>
            <w:col w:w="10860"/>
          </w:cols>
          <w:pgMar w:left="320" w:top="1417" w:right="339" w:bottom="1440" w:gutter="0" w:footer="0" w:header="0"/>
          <w:type w:val="continuous"/>
        </w:sectPr>
      </w:pPr>
    </w:p>
    <w:p>
      <w:pPr>
        <w:spacing w:after="0" w:line="247" w:lineRule="auto"/>
        <w:rPr>
          <w:sz w:val="20"/>
          <w:szCs w:val="20"/>
          <w:color w:val="auto"/>
        </w:rPr>
      </w:pPr>
      <w:r>
        <w:rPr>
          <w:rFonts w:ascii="Arial" w:cs="Arial" w:eastAsia="Arial" w:hAnsi="Arial"/>
          <w:sz w:val="18"/>
          <w:szCs w:val="18"/>
          <w:color w:val="auto"/>
        </w:rPr>
        <w:t>The non-cash, unrealized derivative fair value gains and losses discussed above generally arise as a result of our comprehensive economic hedging program to mitigate foreign exchange, interest rate and commodity price risks. This program creates volatility in reported short-term earnings through the recognition of unrealized non-cash gains and losses on derivative instruments used to hedge these risks. Over the long-term, we believe our hedging program supports the reliable cash flows and dividend growth upon which our investor value proposition is based.</w:t>
      </w:r>
    </w:p>
    <w:p>
      <w:pPr>
        <w:spacing w:after="0" w:line="177"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After taking into consideration the factors above, the remaining $112 million decrease in earnings attributable to common shareholders is primarily explained by:</w:t>
      </w:r>
    </w:p>
    <w:p>
      <w:pPr>
        <w:spacing w:after="0" w:line="154" w:lineRule="exact"/>
        <w:rPr>
          <w:sz w:val="20"/>
          <w:szCs w:val="20"/>
          <w:color w:val="auto"/>
        </w:rPr>
      </w:pPr>
    </w:p>
    <w:p>
      <w:pPr>
        <w:ind w:left="380" w:right="40" w:hanging="178"/>
        <w:spacing w:after="0" w:line="246"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lower contribution from our Liquids Pipelines segment as a result of higher Mainline earnings sharing, lower Mainline tolls on Line 9 deliveries, the absence in 2026 of equity earnings attributable to a litigation settlement, and lower contributions from the Flanagan South Pipeline; and</w:t>
      </w:r>
    </w:p>
    <w:p>
      <w:pPr>
        <w:spacing w:after="0" w:line="1" w:lineRule="exact"/>
        <w:rPr>
          <w:rFonts w:ascii="Times New Roman" w:cs="Times New Roman" w:eastAsia="Times New Roman" w:hAnsi="Times New Roman"/>
          <w:sz w:val="18"/>
          <w:szCs w:val="18"/>
          <w:color w:val="auto"/>
        </w:rPr>
      </w:pPr>
    </w:p>
    <w:p>
      <w:pPr>
        <w:ind w:left="380" w:right="60" w:hanging="178"/>
        <w:spacing w:after="0" w:line="234"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higher income tax expense, excluding tax on infrequent or non-operating factors discussed above, mainly due to the absence in 2026 of investment tax credits; partially offset by</w:t>
      </w:r>
    </w:p>
    <w:p>
      <w:pPr>
        <w:ind w:left="380" w:right="20" w:hanging="178"/>
        <w:spacing w:after="0" w:line="242"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higher contribution from our Gas Distribution and Storage segment due to higher distribution margin and higher storage optimization and pricing at Enbridge Gas Ontario, and higher base rates for Enbridge Gas Utah; and</w:t>
      </w:r>
    </w:p>
    <w:p>
      <w:pPr>
        <w:ind w:left="380" w:right="360" w:hanging="178"/>
        <w:spacing w:after="0" w:line="249"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higher contributions from our Gas Transmission segment primarily due to favorable contracting on US Gas Transmission assets and higher revenues from Aitken Creek Gas Storage Facility (Aitken Creek) and British Columbia (BC) Pipeline.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LIQUIDS PIPELINES</w:t>
      </w:r>
    </w:p>
    <w:p>
      <w:pPr>
        <w:jc w:val="center"/>
        <w:ind w:left="8580"/>
        <w:spacing w:after="0" w:line="234" w:lineRule="auto"/>
        <w:rPr>
          <w:sz w:val="20"/>
          <w:szCs w:val="20"/>
          <w:color w:val="auto"/>
        </w:rPr>
      </w:pPr>
      <w:r>
        <w:rPr>
          <w:rFonts w:ascii="Arial" w:cs="Arial" w:eastAsia="Arial" w:hAnsi="Arial"/>
          <w:sz w:val="18"/>
          <w:szCs w:val="18"/>
          <w:color w:val="auto"/>
        </w:rPr>
        <w:t>Three months ended</w:t>
      </w:r>
    </w:p>
    <w:p>
      <w:pPr>
        <w:jc w:val="center"/>
        <w:ind w:left="8580"/>
        <w:spacing w:after="0" w:line="235" w:lineRule="auto"/>
        <w:rPr>
          <w:sz w:val="20"/>
          <w:szCs w:val="20"/>
          <w:color w:val="auto"/>
        </w:rPr>
      </w:pPr>
      <w:r>
        <w:rPr>
          <w:rFonts w:ascii="Arial" w:cs="Arial" w:eastAsia="Arial" w:hAnsi="Arial"/>
          <w:sz w:val="18"/>
          <w:szCs w:val="18"/>
          <w:color w:val="auto"/>
        </w:rPr>
        <w:t>March 31,</w:t>
      </w:r>
    </w:p>
    <w:p>
      <w:pPr>
        <w:spacing w:after="0" w:line="1" w:lineRule="exact"/>
        <w:rPr>
          <w:sz w:val="20"/>
          <w:szCs w:val="20"/>
          <w:color w:val="auto"/>
        </w:rPr>
      </w:pPr>
    </w:p>
    <w:p>
      <w:pPr>
        <w:ind w:left="9460"/>
        <w:spacing w:after="0"/>
        <w:tabs>
          <w:tab w:leader="none" w:pos="10700" w:val="left"/>
        </w:tabs>
        <w:rPr>
          <w:sz w:val="20"/>
          <w:szCs w:val="20"/>
          <w:color w:val="auto"/>
        </w:rPr>
      </w:pPr>
      <w:r>
        <w:rPr>
          <w:rFonts w:ascii="Arial" w:cs="Arial" w:eastAsia="Arial" w:hAnsi="Arial"/>
          <w:sz w:val="18"/>
          <w:szCs w:val="18"/>
          <w:b w:val="1"/>
          <w:bCs w:val="1"/>
          <w:color w:val="auto"/>
        </w:rPr>
        <w:t>2026</w:t>
      </w:r>
      <w:r>
        <w:rPr>
          <w:sz w:val="20"/>
          <w:szCs w:val="20"/>
          <w:color w:val="auto"/>
        </w:rPr>
        <w:tab/>
      </w: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-130175</wp:posOffset>
            </wp:positionV>
            <wp:extent cx="16027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02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1"/>
        </w:trPr>
        <w:tc>
          <w:tcPr>
            <w:tcW w:w="7620" w:type="dxa"/>
            <w:vAlign w:val="bottom"/>
          </w:tcPr>
          <w:p>
            <w:pPr>
              <w:spacing w:after="0" w:line="131" w:lineRule="exact"/>
              <w:rPr>
                <w:sz w:val="20"/>
                <w:szCs w:val="20"/>
                <w:color w:val="auto"/>
              </w:rPr>
            </w:pPr>
            <w:r>
              <w:rPr>
                <w:rFonts w:ascii="Arial" w:cs="Arial" w:eastAsia="Arial" w:hAnsi="Arial"/>
                <w:sz w:val="14"/>
                <w:szCs w:val="14"/>
                <w:i w:val="1"/>
                <w:iCs w:val="1"/>
                <w:color w:val="auto"/>
              </w:rPr>
              <w:t>(millions of Canadian dollars)</w:t>
            </w:r>
          </w:p>
        </w:tc>
        <w:tc>
          <w:tcPr>
            <w:tcW w:w="26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1,957</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42"/>
        </w:trPr>
        <w:tc>
          <w:tcPr>
            <w:tcW w:w="7620" w:type="dxa"/>
            <w:vAlign w:val="bottom"/>
          </w:tcPr>
          <w:p>
            <w:pPr>
              <w:spacing w:after="0"/>
              <w:rPr>
                <w:sz w:val="20"/>
                <w:szCs w:val="20"/>
                <w:color w:val="auto"/>
              </w:rPr>
            </w:pPr>
            <w:r>
              <w:rPr>
                <w:rFonts w:ascii="Arial" w:cs="Arial" w:eastAsia="Arial" w:hAnsi="Arial"/>
                <w:sz w:val="18"/>
                <w:szCs w:val="18"/>
                <w:color w:val="auto"/>
              </w:rPr>
              <w:t>Earnings before interest, income taxes and depreciation and amortization</w:t>
            </w:r>
          </w:p>
        </w:tc>
        <w:tc>
          <w:tcPr>
            <w:tcW w:w="264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2026, compared with the three months ended March 31, 2025</w:t>
      </w:r>
    </w:p>
    <w:p>
      <w:pPr>
        <w:spacing w:after="0" w:line="21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EBITDA was negatively impacted by $318 million due to certain infrequent or other non-operating factors, primarily explained by a non-cash, net unrealized loss of $352 million in 2026, compared with a net unrealized gain of $6 million in 2025, reflecting changes in the mark-to-market value of derivative financial instruments used to manage commodity price risks.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32" w:name="page33"/>
    <w:bookmarkEnd w:id="32"/>
    <w:p>
      <w:pPr>
        <w:ind w:right="580"/>
        <w:spacing w:after="0" w:line="271" w:lineRule="auto"/>
        <w:rPr>
          <w:sz w:val="20"/>
          <w:szCs w:val="20"/>
          <w:color w:val="auto"/>
        </w:rPr>
      </w:pPr>
      <w:r>
        <w:rPr>
          <w:rFonts w:ascii="Arial" w:cs="Arial" w:eastAsia="Arial" w:hAnsi="Arial"/>
          <w:sz w:val="18"/>
          <w:szCs w:val="18"/>
          <w:color w:val="auto"/>
        </w:rPr>
        <w:t>After taking into consideration the factors above, the remaining $318 million decrease is primarily explained by the following significant business factors:</w:t>
      </w:r>
    </w:p>
    <w:p>
      <w:pPr>
        <w:spacing w:after="0" w:line="154" w:lineRule="exact"/>
        <w:rPr>
          <w:sz w:val="20"/>
          <w:szCs w:val="20"/>
          <w:color w:val="auto"/>
        </w:rPr>
      </w:pPr>
    </w:p>
    <w:p>
      <w:pPr>
        <w:ind w:left="380" w:right="420" w:hanging="178"/>
        <w:spacing w:after="0" w:line="252" w:lineRule="auto"/>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lower Mainline and Market Access contributions as a result of higher earnings sharing, lower Mainline tolls on Line 9 deliveries, and lower contributions from the Flanagan South Pipeline;</w:t>
      </w:r>
    </w:p>
    <w:p>
      <w:pPr>
        <w:spacing w:after="0" w:line="1" w:lineRule="exact"/>
        <w:rPr>
          <w:rFonts w:ascii="Times New Roman" w:cs="Times New Roman" w:eastAsia="Times New Roman" w:hAnsi="Times New Roman"/>
          <w:sz w:val="18"/>
          <w:szCs w:val="18"/>
          <w:color w:val="auto"/>
        </w:rPr>
      </w:pPr>
    </w:p>
    <w:p>
      <w:pPr>
        <w:ind w:left="380" w:hanging="178"/>
        <w:spacing w:after="0" w:line="233" w:lineRule="auto"/>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absence in 2026 of equity earnings attributable to a litigation settlement; and</w:t>
      </w:r>
    </w:p>
    <w:p>
      <w:pPr>
        <w:ind w:left="380" w:hanging="178"/>
        <w:spacing w:after="0"/>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unfavorable effect of translating US dollar earnings at a lower average exchange rate in 2026, compared to the same period in 2025.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 TRANSMISSION</w:t>
      </w:r>
    </w:p>
    <w:tbl>
      <w:tblPr>
        <w:tblLayout w:type="fixed"/>
        <w:tblInd w:w="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2520" w:type="dxa"/>
            <w:vAlign w:val="bottom"/>
            <w:gridSpan w:val="3"/>
          </w:tcPr>
          <w:p>
            <w:pPr>
              <w:jc w:val="center"/>
              <w:ind w:right="50"/>
              <w:spacing w:after="0" w:line="171" w:lineRule="exact"/>
              <w:rPr>
                <w:sz w:val="20"/>
                <w:szCs w:val="20"/>
                <w:color w:val="auto"/>
              </w:rPr>
            </w:pPr>
            <w:r>
              <w:rPr>
                <w:rFonts w:ascii="Arial" w:cs="Arial" w:eastAsia="Arial" w:hAnsi="Arial"/>
                <w:sz w:val="18"/>
                <w:szCs w:val="18"/>
                <w:color w:val="auto"/>
                <w:w w:val="99"/>
              </w:rPr>
              <w:t>Three months ended</w:t>
            </w:r>
          </w:p>
        </w:tc>
        <w:tc>
          <w:tcPr>
            <w:tcW w:w="0" w:type="dxa"/>
            <w:vAlign w:val="bottom"/>
          </w:tcPr>
          <w:p>
            <w:pPr>
              <w:spacing w:after="0"/>
              <w:rPr>
                <w:sz w:val="1"/>
                <w:szCs w:val="1"/>
                <w:color w:val="auto"/>
              </w:rPr>
            </w:pPr>
          </w:p>
        </w:tc>
      </w:tr>
      <w:tr>
        <w:trPr>
          <w:trHeight w:val="221"/>
        </w:trPr>
        <w:tc>
          <w:tcPr>
            <w:tcW w:w="8720" w:type="dxa"/>
            <w:vAlign w:val="bottom"/>
          </w:tcPr>
          <w:p>
            <w:pPr>
              <w:spacing w:after="0"/>
              <w:rPr>
                <w:sz w:val="19"/>
                <w:szCs w:val="19"/>
                <w:color w:val="auto"/>
              </w:rPr>
            </w:pPr>
          </w:p>
        </w:tc>
        <w:tc>
          <w:tcPr>
            <w:tcW w:w="178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color w:val="auto"/>
                <w:w w:val="99"/>
              </w:rPr>
              <w:t>March 31,</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rPr>
              <w:t>2026</w:t>
            </w:r>
          </w:p>
        </w:tc>
        <w:tc>
          <w:tcPr>
            <w:tcW w:w="5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15"/>
        </w:trPr>
        <w:tc>
          <w:tcPr>
            <w:tcW w:w="872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1260" w:type="dxa"/>
            <w:vAlign w:val="bottom"/>
            <w:vMerge w:val="restart"/>
            <w:shd w:val="clear" w:color="auto" w:fill="DDDDDD"/>
          </w:tcPr>
          <w:p>
            <w:pPr>
              <w:jc w:val="right"/>
              <w:ind w:right="30"/>
              <w:spacing w:after="0"/>
              <w:rPr>
                <w:sz w:val="20"/>
                <w:szCs w:val="20"/>
                <w:color w:val="auto"/>
              </w:rPr>
            </w:pPr>
            <w:r>
              <w:rPr>
                <w:rFonts w:ascii="Arial" w:cs="Arial" w:eastAsia="Arial" w:hAnsi="Arial"/>
                <w:sz w:val="18"/>
                <w:szCs w:val="18"/>
                <w:b w:val="1"/>
                <w:bCs w:val="1"/>
                <w:color w:val="auto"/>
              </w:rPr>
              <w:t>1,570</w:t>
            </w:r>
          </w:p>
        </w:tc>
        <w:tc>
          <w:tcPr>
            <w:tcW w:w="520" w:type="dxa"/>
            <w:vAlign w:val="bottom"/>
          </w:tcPr>
          <w:p>
            <w:pPr>
              <w:spacing w:after="0"/>
              <w:rPr>
                <w:sz w:val="10"/>
                <w:szCs w:val="10"/>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6"/>
        </w:trPr>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before interest, income taxes and depreciation and amortization</w:t>
            </w:r>
          </w:p>
        </w:tc>
        <w:tc>
          <w:tcPr>
            <w:tcW w:w="1260" w:type="dxa"/>
            <w:vAlign w:val="bottom"/>
            <w:tcBorders>
              <w:bottom w:val="single" w:sz="8" w:color="auto"/>
            </w:tcBorders>
            <w:vMerge w:val="continue"/>
            <w:shd w:val="clear" w:color="auto" w:fill="DDDDDD"/>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2026 compared with the three months ended March 31, 2025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EBITDA was positively impacted by $97 million, primarily explained by the following significant business factors:</w:t>
      </w:r>
    </w:p>
    <w:p>
      <w:pPr>
        <w:spacing w:after="0" w:line="198" w:lineRule="exact"/>
        <w:rPr>
          <w:sz w:val="20"/>
          <w:szCs w:val="20"/>
          <w:color w:val="auto"/>
        </w:rPr>
      </w:pPr>
    </w:p>
    <w:p>
      <w:pPr>
        <w:ind w:left="380" w:hanging="178"/>
        <w:spacing w:after="0"/>
        <w:tabs>
          <w:tab w:leader="none" w:pos="3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favorable contracting on our US Gas Transmission assets; and</w:t>
      </w:r>
    </w:p>
    <w:p>
      <w:pPr>
        <w:spacing w:after="0" w:line="26" w:lineRule="exact"/>
        <w:rPr>
          <w:rFonts w:ascii="Times New Roman" w:cs="Times New Roman" w:eastAsia="Times New Roman" w:hAnsi="Times New Roman"/>
          <w:sz w:val="18"/>
          <w:szCs w:val="18"/>
          <w:color w:val="auto"/>
        </w:rPr>
      </w:pPr>
    </w:p>
    <w:p>
      <w:pPr>
        <w:ind w:left="380" w:hanging="178"/>
        <w:spacing w:after="0" w:line="233" w:lineRule="auto"/>
        <w:tabs>
          <w:tab w:leader="none" w:pos="3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higher revenues from Aitken Creek and BC Pipeline due to favorable storage spreads and tolls, respectively; partially offset by</w:t>
      </w:r>
    </w:p>
    <w:p>
      <w:pPr>
        <w:ind w:left="380" w:hanging="178"/>
        <w:spacing w:after="0"/>
        <w:tabs>
          <w:tab w:leader="none" w:pos="3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unfavorable effect of translating US dollar earnings at a lower average exchange rate in 2026, compared to the same period in 2025.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 DISTRIBUTION AND STORAGE</w:t>
      </w:r>
    </w:p>
    <w:p>
      <w:pPr>
        <w:jc w:val="center"/>
        <w:ind w:left="8580"/>
        <w:spacing w:after="0" w:line="234" w:lineRule="auto"/>
        <w:rPr>
          <w:sz w:val="20"/>
          <w:szCs w:val="20"/>
          <w:color w:val="auto"/>
        </w:rPr>
      </w:pPr>
      <w:r>
        <w:rPr>
          <w:rFonts w:ascii="Arial" w:cs="Arial" w:eastAsia="Arial" w:hAnsi="Arial"/>
          <w:sz w:val="18"/>
          <w:szCs w:val="18"/>
          <w:color w:val="auto"/>
        </w:rPr>
        <w:t>Three months ended</w:t>
      </w:r>
    </w:p>
    <w:p>
      <w:pPr>
        <w:jc w:val="center"/>
        <w:ind w:left="8580"/>
        <w:spacing w:after="0" w:line="235" w:lineRule="auto"/>
        <w:rPr>
          <w:sz w:val="20"/>
          <w:szCs w:val="20"/>
          <w:color w:val="auto"/>
        </w:rPr>
      </w:pPr>
      <w:r>
        <w:rPr>
          <w:rFonts w:ascii="Arial" w:cs="Arial" w:eastAsia="Arial" w:hAnsi="Arial"/>
          <w:sz w:val="18"/>
          <w:szCs w:val="18"/>
          <w:color w:val="auto"/>
        </w:rPr>
        <w:t>March 31,</w:t>
      </w:r>
    </w:p>
    <w:p>
      <w:pPr>
        <w:spacing w:after="0" w:line="1" w:lineRule="exact"/>
        <w:rPr>
          <w:sz w:val="20"/>
          <w:szCs w:val="20"/>
          <w:color w:val="auto"/>
        </w:rPr>
      </w:pPr>
    </w:p>
    <w:p>
      <w:pPr>
        <w:ind w:left="9460"/>
        <w:spacing w:after="0"/>
        <w:tabs>
          <w:tab w:leader="none" w:pos="10700" w:val="left"/>
        </w:tabs>
        <w:rPr>
          <w:sz w:val="20"/>
          <w:szCs w:val="20"/>
          <w:color w:val="auto"/>
        </w:rPr>
      </w:pPr>
      <w:r>
        <w:rPr>
          <w:rFonts w:ascii="Arial" w:cs="Arial" w:eastAsia="Arial" w:hAnsi="Arial"/>
          <w:sz w:val="18"/>
          <w:szCs w:val="18"/>
          <w:b w:val="1"/>
          <w:bCs w:val="1"/>
          <w:color w:val="auto"/>
        </w:rPr>
        <w:t>2026</w:t>
      </w:r>
      <w:r>
        <w:rPr>
          <w:sz w:val="20"/>
          <w:szCs w:val="20"/>
          <w:color w:val="auto"/>
        </w:rPr>
        <w:tab/>
      </w: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-130175</wp:posOffset>
            </wp:positionV>
            <wp:extent cx="16027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027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1"/>
        </w:trPr>
        <w:tc>
          <w:tcPr>
            <w:tcW w:w="7620" w:type="dxa"/>
            <w:vAlign w:val="bottom"/>
          </w:tcPr>
          <w:p>
            <w:pPr>
              <w:spacing w:after="0" w:line="131" w:lineRule="exact"/>
              <w:rPr>
                <w:sz w:val="20"/>
                <w:szCs w:val="20"/>
                <w:color w:val="auto"/>
              </w:rPr>
            </w:pPr>
            <w:r>
              <w:rPr>
                <w:rFonts w:ascii="Arial" w:cs="Arial" w:eastAsia="Arial" w:hAnsi="Arial"/>
                <w:sz w:val="14"/>
                <w:szCs w:val="14"/>
                <w:i w:val="1"/>
                <w:iCs w:val="1"/>
                <w:color w:val="auto"/>
              </w:rPr>
              <w:t>(millions of Canadian dollars)</w:t>
            </w:r>
          </w:p>
        </w:tc>
        <w:tc>
          <w:tcPr>
            <w:tcW w:w="26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1,709</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42"/>
        </w:trPr>
        <w:tc>
          <w:tcPr>
            <w:tcW w:w="7620" w:type="dxa"/>
            <w:vAlign w:val="bottom"/>
          </w:tcPr>
          <w:p>
            <w:pPr>
              <w:spacing w:after="0"/>
              <w:rPr>
                <w:sz w:val="20"/>
                <w:szCs w:val="20"/>
                <w:color w:val="auto"/>
              </w:rPr>
            </w:pPr>
            <w:r>
              <w:rPr>
                <w:rFonts w:ascii="Arial" w:cs="Arial" w:eastAsia="Arial" w:hAnsi="Arial"/>
                <w:sz w:val="18"/>
                <w:szCs w:val="18"/>
                <w:color w:val="auto"/>
              </w:rPr>
              <w:t>Earnings before interest, income taxes and depreciation and amortization</w:t>
            </w:r>
          </w:p>
        </w:tc>
        <w:tc>
          <w:tcPr>
            <w:tcW w:w="264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222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2026, compared with the three months ended March 31,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EBITDA was positively impacted by $109 million, primarily explained by the following significant business factors:</w:t>
      </w:r>
    </w:p>
    <w:p>
      <w:pPr>
        <w:spacing w:after="0" w:line="212" w:lineRule="exact"/>
        <w:rPr>
          <w:sz w:val="20"/>
          <w:szCs w:val="20"/>
          <w:color w:val="auto"/>
        </w:rPr>
      </w:pPr>
    </w:p>
    <w:p>
      <w:pPr>
        <w:ind w:left="380" w:hanging="178"/>
        <w:spacing w:after="0"/>
        <w:tabs>
          <w:tab w:leader="none" w:pos="3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higher distribution margin resulting from rate escalators and higher storage optimization and pricing at Enbridge Gas Ontario; and</w:t>
      </w:r>
    </w:p>
    <w:p>
      <w:pPr>
        <w:spacing w:after="0" w:line="12" w:lineRule="exact"/>
        <w:rPr>
          <w:rFonts w:ascii="Times New Roman" w:cs="Times New Roman" w:eastAsia="Times New Roman" w:hAnsi="Times New Roman"/>
          <w:sz w:val="18"/>
          <w:szCs w:val="18"/>
          <w:color w:val="auto"/>
        </w:rPr>
      </w:pPr>
    </w:p>
    <w:p>
      <w:pPr>
        <w:ind w:left="380" w:hanging="178"/>
        <w:spacing w:after="0"/>
        <w:tabs>
          <w:tab w:leader="none" w:pos="3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higher base rates for Enbridge Gas Utah and Enbridge Gas North Carolina due to recent rate cases; partially offset by</w:t>
      </w:r>
    </w:p>
    <w:p>
      <w:pPr>
        <w:spacing w:after="0" w:line="8" w:lineRule="exact"/>
        <w:rPr>
          <w:rFonts w:ascii="Times New Roman" w:cs="Times New Roman" w:eastAsia="Times New Roman" w:hAnsi="Times New Roman"/>
          <w:sz w:val="18"/>
          <w:szCs w:val="18"/>
          <w:color w:val="auto"/>
        </w:rPr>
      </w:pPr>
    </w:p>
    <w:p>
      <w:pPr>
        <w:ind w:left="380" w:hanging="178"/>
        <w:spacing w:after="0"/>
        <w:tabs>
          <w:tab w:leader="none" w:pos="3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unfavorable effect of translating US dollar earnings at a lower average exchange rate in 2026, compared to the same period in 2025.</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RENEWABLE POWER GENERATION</w:t>
      </w:r>
    </w:p>
    <w:tbl>
      <w:tblPr>
        <w:tblLayout w:type="fixed"/>
        <w:tblInd w:w="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2520" w:type="dxa"/>
            <w:vAlign w:val="bottom"/>
            <w:gridSpan w:val="3"/>
          </w:tcPr>
          <w:p>
            <w:pPr>
              <w:jc w:val="center"/>
              <w:ind w:right="50"/>
              <w:spacing w:after="0" w:line="171" w:lineRule="exact"/>
              <w:rPr>
                <w:sz w:val="20"/>
                <w:szCs w:val="20"/>
                <w:color w:val="auto"/>
              </w:rPr>
            </w:pPr>
            <w:r>
              <w:rPr>
                <w:rFonts w:ascii="Arial" w:cs="Arial" w:eastAsia="Arial" w:hAnsi="Arial"/>
                <w:sz w:val="18"/>
                <w:szCs w:val="18"/>
                <w:color w:val="auto"/>
                <w:w w:val="99"/>
              </w:rPr>
              <w:t>Three months ended</w:t>
            </w:r>
          </w:p>
        </w:tc>
        <w:tc>
          <w:tcPr>
            <w:tcW w:w="0" w:type="dxa"/>
            <w:vAlign w:val="bottom"/>
          </w:tcPr>
          <w:p>
            <w:pPr>
              <w:spacing w:after="0"/>
              <w:rPr>
                <w:sz w:val="1"/>
                <w:szCs w:val="1"/>
                <w:color w:val="auto"/>
              </w:rPr>
            </w:pPr>
          </w:p>
        </w:tc>
      </w:tr>
      <w:tr>
        <w:trPr>
          <w:trHeight w:val="221"/>
        </w:trPr>
        <w:tc>
          <w:tcPr>
            <w:tcW w:w="8720" w:type="dxa"/>
            <w:vAlign w:val="bottom"/>
          </w:tcPr>
          <w:p>
            <w:pPr>
              <w:spacing w:after="0"/>
              <w:rPr>
                <w:sz w:val="19"/>
                <w:szCs w:val="19"/>
                <w:color w:val="auto"/>
              </w:rPr>
            </w:pPr>
          </w:p>
        </w:tc>
        <w:tc>
          <w:tcPr>
            <w:tcW w:w="180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99"/>
              </w:rPr>
              <w:t>March 31,</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rPr>
              <w:t>2026</w:t>
            </w: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15"/>
        </w:trPr>
        <w:tc>
          <w:tcPr>
            <w:tcW w:w="872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1260" w:type="dxa"/>
            <w:vAlign w:val="bottom"/>
            <w:vMerge w:val="restart"/>
            <w:shd w:val="clear" w:color="auto" w:fill="DDDDDD"/>
          </w:tcPr>
          <w:p>
            <w:pPr>
              <w:jc w:val="right"/>
              <w:ind w:right="30"/>
              <w:spacing w:after="0"/>
              <w:rPr>
                <w:sz w:val="20"/>
                <w:szCs w:val="20"/>
                <w:color w:val="auto"/>
              </w:rPr>
            </w:pPr>
            <w:r>
              <w:rPr>
                <w:rFonts w:ascii="Arial" w:cs="Arial" w:eastAsia="Arial" w:hAnsi="Arial"/>
                <w:sz w:val="18"/>
                <w:szCs w:val="18"/>
                <w:b w:val="1"/>
                <w:bCs w:val="1"/>
                <w:color w:val="auto"/>
              </w:rPr>
              <w:t>188</w:t>
            </w:r>
          </w:p>
        </w:tc>
        <w:tc>
          <w:tcPr>
            <w:tcW w:w="540" w:type="dxa"/>
            <w:vAlign w:val="bottom"/>
          </w:tcPr>
          <w:p>
            <w:pPr>
              <w:spacing w:after="0"/>
              <w:rPr>
                <w:sz w:val="10"/>
                <w:szCs w:val="10"/>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before interest, income taxes and depreciation and amortization</w:t>
            </w:r>
          </w:p>
        </w:tc>
        <w:tc>
          <w:tcPr>
            <w:tcW w:w="1260" w:type="dxa"/>
            <w:vAlign w:val="bottom"/>
            <w:tcBorders>
              <w:bottom w:val="single" w:sz="8" w:color="auto"/>
            </w:tcBorders>
            <w:vMerge w:val="continue"/>
            <w:shd w:val="clear" w:color="auto" w:fill="DDDDDD"/>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2026, compared with the three months ended March 31,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EBITDA was negatively impacted by $35 million, primarily explained by the following significant business factors:</w:t>
      </w:r>
    </w:p>
    <w:p>
      <w:pPr>
        <w:spacing w:after="0" w:line="212" w:lineRule="exact"/>
        <w:rPr>
          <w:sz w:val="20"/>
          <w:szCs w:val="20"/>
          <w:color w:val="auto"/>
        </w:rPr>
      </w:pPr>
    </w:p>
    <w:p>
      <w:pPr>
        <w:ind w:left="380" w:hanging="178"/>
        <w:spacing w:after="0"/>
        <w:tabs>
          <w:tab w:leader="none" w:pos="3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absence in 2026 of equity earnings related to Fox Squirrel Solar investment tax credits; partially offset by</w:t>
      </w:r>
    </w:p>
    <w:p>
      <w:pPr>
        <w:spacing w:after="0" w:line="12" w:lineRule="exact"/>
        <w:rPr>
          <w:rFonts w:ascii="Times New Roman" w:cs="Times New Roman" w:eastAsia="Times New Roman" w:hAnsi="Times New Roman"/>
          <w:sz w:val="18"/>
          <w:szCs w:val="18"/>
          <w:color w:val="auto"/>
        </w:rPr>
      </w:pPr>
    </w:p>
    <w:p>
      <w:pPr>
        <w:ind w:left="380" w:hanging="178"/>
        <w:spacing w:after="0"/>
        <w:tabs>
          <w:tab w:leader="none" w:pos="3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higher contributions from European offshore wind facilities due to stronger wind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w:t>
      </w:r>
    </w:p>
    <w:tbl>
      <w:tblPr>
        <w:tblLayout w:type="fixed"/>
        <w:tblInd w:w="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2520" w:type="dxa"/>
            <w:vAlign w:val="bottom"/>
            <w:gridSpan w:val="3"/>
          </w:tcPr>
          <w:p>
            <w:pPr>
              <w:jc w:val="center"/>
              <w:ind w:right="50"/>
              <w:spacing w:after="0" w:line="171" w:lineRule="exact"/>
              <w:rPr>
                <w:sz w:val="20"/>
                <w:szCs w:val="20"/>
                <w:color w:val="auto"/>
              </w:rPr>
            </w:pPr>
            <w:r>
              <w:rPr>
                <w:rFonts w:ascii="Arial" w:cs="Arial" w:eastAsia="Arial" w:hAnsi="Arial"/>
                <w:sz w:val="18"/>
                <w:szCs w:val="18"/>
                <w:color w:val="auto"/>
                <w:w w:val="99"/>
              </w:rPr>
              <w:t>Three months ended</w:t>
            </w:r>
          </w:p>
        </w:tc>
        <w:tc>
          <w:tcPr>
            <w:tcW w:w="0" w:type="dxa"/>
            <w:vAlign w:val="bottom"/>
          </w:tcPr>
          <w:p>
            <w:pPr>
              <w:spacing w:after="0"/>
              <w:rPr>
                <w:sz w:val="1"/>
                <w:szCs w:val="1"/>
                <w:color w:val="auto"/>
              </w:rPr>
            </w:pPr>
          </w:p>
        </w:tc>
      </w:tr>
      <w:tr>
        <w:trPr>
          <w:trHeight w:val="221"/>
        </w:trPr>
        <w:tc>
          <w:tcPr>
            <w:tcW w:w="8720" w:type="dxa"/>
            <w:vAlign w:val="bottom"/>
          </w:tcPr>
          <w:p>
            <w:pPr>
              <w:spacing w:after="0"/>
              <w:rPr>
                <w:sz w:val="19"/>
                <w:szCs w:val="19"/>
                <w:color w:val="auto"/>
              </w:rPr>
            </w:pPr>
          </w:p>
        </w:tc>
        <w:tc>
          <w:tcPr>
            <w:tcW w:w="180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99"/>
              </w:rPr>
              <w:t>March 31,</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rPr>
              <w:t>2026</w:t>
            </w: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15"/>
        </w:trPr>
        <w:tc>
          <w:tcPr>
            <w:tcW w:w="872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1260" w:type="dxa"/>
            <w:vAlign w:val="bottom"/>
            <w:vMerge w:val="restart"/>
            <w:shd w:val="clear" w:color="auto" w:fill="DDDDDD"/>
          </w:tcPr>
          <w:p>
            <w:pPr>
              <w:jc w:val="right"/>
              <w:spacing w:after="0"/>
              <w:rPr>
                <w:sz w:val="20"/>
                <w:szCs w:val="20"/>
                <w:color w:val="auto"/>
              </w:rPr>
            </w:pPr>
            <w:r>
              <w:rPr>
                <w:rFonts w:ascii="Arial" w:cs="Arial" w:eastAsia="Arial" w:hAnsi="Arial"/>
                <w:sz w:val="18"/>
                <w:szCs w:val="18"/>
                <w:b w:val="1"/>
                <w:bCs w:val="1"/>
                <w:color w:val="auto"/>
              </w:rPr>
              <w:t>(404)</w:t>
            </w:r>
          </w:p>
        </w:tc>
        <w:tc>
          <w:tcPr>
            <w:tcW w:w="540" w:type="dxa"/>
            <w:vAlign w:val="bottom"/>
          </w:tcPr>
          <w:p>
            <w:pPr>
              <w:spacing w:after="0"/>
              <w:rPr>
                <w:sz w:val="10"/>
                <w:szCs w:val="10"/>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Earnings/(loss) before interest, income taxes and depreciation and amortization</w:t>
            </w:r>
          </w:p>
        </w:tc>
        <w:tc>
          <w:tcPr>
            <w:tcW w:w="1260" w:type="dxa"/>
            <w:vAlign w:val="bottom"/>
            <w:tcBorders>
              <w:bottom w:val="single" w:sz="8" w:color="auto"/>
            </w:tcBorders>
            <w:vMerge w:val="continue"/>
            <w:shd w:val="clear" w:color="auto" w:fill="DDDDDD"/>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60"/>
        <w:spacing w:after="0" w:line="261" w:lineRule="auto"/>
        <w:rPr>
          <w:sz w:val="20"/>
          <w:szCs w:val="20"/>
          <w:color w:val="auto"/>
        </w:rPr>
      </w:pPr>
      <w:r>
        <w:rPr>
          <w:rFonts w:ascii="Arial" w:cs="Arial" w:eastAsia="Arial" w:hAnsi="Arial"/>
          <w:sz w:val="18"/>
          <w:szCs w:val="18"/>
          <w:color w:val="auto"/>
        </w:rPr>
        <w:t>Eliminations and Other includes operating and administrative costs that are not allocated to business segments, and the impact of foreign exchange hedge settlements and the activities of our wholly-owned captive insurance subsidiary. Eliminations and Other also includes our natural gas and power marketing businesses and the impact of new business development activities and corporate investments.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2026, compared with the three months ended March 31, 2025</w:t>
      </w:r>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EBITDA was negatively impacted by $595 million due to certain infrequent or non-operating factors, primarily explained by a non-cash, net unrealized loss of $439 million in 2026, compared with a net unrealized gain of $109 million in 2025, reflecting changes in the mark-to-market value of derivative financial instruments used to manage foreign exchange and commodity price risks.</w:t>
      </w:r>
    </w:p>
    <w:p>
      <w:pPr>
        <w:spacing w:after="0" w:line="16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After taking into consideration the non-operating factor above, the remaining $151 million increase in EBITDA is primarily explained by lower realized foreign exchange losses on hedge settlements in 2026.</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spacing w:after="0"/>
        <w:rPr>
          <w:sz w:val="20"/>
          <w:szCs w:val="20"/>
          <w:color w:val="auto"/>
        </w:rPr>
      </w:pPr>
      <w:r>
        <w:rPr>
          <w:rFonts w:ascii="Arial" w:cs="Arial" w:eastAsia="Arial" w:hAnsi="Arial"/>
          <w:sz w:val="23"/>
          <w:szCs w:val="23"/>
          <w:b w:val="1"/>
          <w:bCs w:val="1"/>
          <w:color w:val="auto"/>
        </w:rPr>
        <w:t>GROWTH PROJECTS - COMMERCIALLY SECURED PROJECTS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our material commercially secured projects, organized by business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jc w:val="right"/>
              <w:ind w:right="319"/>
              <w:spacing w:after="0"/>
              <w:rPr>
                <w:sz w:val="20"/>
                <w:szCs w:val="20"/>
                <w:color w:val="auto"/>
              </w:rPr>
            </w:pPr>
            <w:r>
              <w:rPr>
                <w:rFonts w:ascii="Arial" w:cs="Arial" w:eastAsia="Arial" w:hAnsi="Arial"/>
                <w:sz w:val="16"/>
                <w:szCs w:val="16"/>
                <w:b w:val="1"/>
                <w:bCs w:val="1"/>
                <w:color w:val="auto"/>
              </w:rPr>
              <w:t>Enbridge's</w:t>
            </w:r>
          </w:p>
        </w:tc>
        <w:tc>
          <w:tcPr>
            <w:tcW w:w="1700" w:type="dxa"/>
            <w:vAlign w:val="bottom"/>
          </w:tcPr>
          <w:p>
            <w:pPr>
              <w:jc w:val="right"/>
              <w:ind w:right="239"/>
              <w:spacing w:after="0"/>
              <w:rPr>
                <w:sz w:val="20"/>
                <w:szCs w:val="20"/>
                <w:color w:val="auto"/>
              </w:rPr>
            </w:pPr>
            <w:r>
              <w:rPr>
                <w:rFonts w:ascii="Arial" w:cs="Arial" w:eastAsia="Arial" w:hAnsi="Arial"/>
                <w:sz w:val="16"/>
                <w:szCs w:val="16"/>
                <w:b w:val="1"/>
                <w:bCs w:val="1"/>
                <w:color w:val="auto"/>
              </w:rPr>
              <w:t>Estimated</w:t>
            </w: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Expenditures</w:t>
            </w:r>
          </w:p>
        </w:tc>
        <w:tc>
          <w:tcPr>
            <w:tcW w:w="174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Expected</w:t>
            </w: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700" w:type="dxa"/>
            <w:vAlign w:val="bottom"/>
          </w:tcPr>
          <w:p>
            <w:pPr>
              <w:jc w:val="right"/>
              <w:ind w:right="319"/>
              <w:spacing w:after="0" w:line="175" w:lineRule="exact"/>
              <w:rPr>
                <w:sz w:val="20"/>
                <w:szCs w:val="20"/>
                <w:color w:val="auto"/>
              </w:rPr>
            </w:pPr>
            <w:r>
              <w:rPr>
                <w:rFonts w:ascii="Arial" w:cs="Arial" w:eastAsia="Arial" w:hAnsi="Arial"/>
                <w:sz w:val="16"/>
                <w:szCs w:val="16"/>
                <w:b w:val="1"/>
                <w:bCs w:val="1"/>
                <w:color w:val="auto"/>
              </w:rPr>
              <w:t>Ownership</w:t>
            </w:r>
          </w:p>
        </w:tc>
        <w:tc>
          <w:tcPr>
            <w:tcW w:w="1700" w:type="dxa"/>
            <w:vAlign w:val="bottom"/>
          </w:tcPr>
          <w:p>
            <w:pPr>
              <w:jc w:val="right"/>
              <w:ind w:right="239"/>
              <w:spacing w:after="0" w:line="175" w:lineRule="exact"/>
              <w:rPr>
                <w:sz w:val="20"/>
                <w:szCs w:val="20"/>
                <w:color w:val="auto"/>
              </w:rPr>
            </w:pPr>
            <w:r>
              <w:rPr>
                <w:rFonts w:ascii="Arial" w:cs="Arial" w:eastAsia="Arial" w:hAnsi="Arial"/>
                <w:sz w:val="16"/>
                <w:szCs w:val="16"/>
                <w:b w:val="1"/>
                <w:bCs w:val="1"/>
                <w:color w:val="auto"/>
              </w:rPr>
              <w:t>Capital</w:t>
            </w:r>
          </w:p>
        </w:tc>
        <w:tc>
          <w:tcPr>
            <w:tcW w:w="1500" w:type="dxa"/>
            <w:vAlign w:val="bottom"/>
            <w:vMerge w:val="continue"/>
          </w:tcPr>
          <w:p>
            <w:pPr>
              <w:spacing w:after="0"/>
              <w:rPr>
                <w:sz w:val="15"/>
                <w:szCs w:val="15"/>
                <w:color w:val="auto"/>
              </w:rPr>
            </w:pPr>
          </w:p>
        </w:tc>
        <w:tc>
          <w:tcPr>
            <w:tcW w:w="17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Status</w:t>
            </w:r>
            <w:r>
              <w:rPr>
                <w:rFonts w:ascii="Arial" w:cs="Arial" w:eastAsia="Arial" w:hAnsi="Arial"/>
                <w:sz w:val="18"/>
                <w:szCs w:val="18"/>
                <w:b w:val="1"/>
                <w:bCs w:val="1"/>
                <w:color w:val="auto"/>
                <w:vertAlign w:val="superscript"/>
              </w:rPr>
              <w:t>2</w:t>
            </w:r>
          </w:p>
        </w:tc>
        <w:tc>
          <w:tcPr>
            <w:tcW w:w="1280" w:type="dxa"/>
            <w:vAlign w:val="bottom"/>
          </w:tcPr>
          <w:p>
            <w:pPr>
              <w:jc w:val="right"/>
              <w:ind w:right="39"/>
              <w:spacing w:after="0" w:line="175" w:lineRule="exact"/>
              <w:rPr>
                <w:sz w:val="20"/>
                <w:szCs w:val="20"/>
                <w:color w:val="auto"/>
              </w:rPr>
            </w:pPr>
            <w:r>
              <w:rPr>
                <w:rFonts w:ascii="Arial" w:cs="Arial" w:eastAsia="Arial" w:hAnsi="Arial"/>
                <w:sz w:val="16"/>
                <w:szCs w:val="16"/>
                <w:b w:val="1"/>
                <w:bCs w:val="1"/>
                <w:color w:val="auto"/>
              </w:rPr>
              <w:t>In-Service</w:t>
            </w:r>
          </w:p>
        </w:tc>
        <w:tc>
          <w:tcPr>
            <w:tcW w:w="0" w:type="dxa"/>
            <w:vAlign w:val="bottom"/>
          </w:tcPr>
          <w:p>
            <w:pPr>
              <w:spacing w:after="0"/>
              <w:rPr>
                <w:sz w:val="1"/>
                <w:szCs w:val="1"/>
                <w:color w:val="auto"/>
              </w:rPr>
            </w:pPr>
          </w:p>
        </w:tc>
      </w:tr>
      <w:tr>
        <w:trPr>
          <w:trHeight w:val="203"/>
        </w:trPr>
        <w:tc>
          <w:tcPr>
            <w:tcW w:w="3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Interest</w:t>
            </w:r>
          </w:p>
        </w:tc>
        <w:tc>
          <w:tcPr>
            <w:tcW w:w="1700" w:type="dxa"/>
            <w:vAlign w:val="bottom"/>
            <w:tcBorders>
              <w:bottom w:val="single" w:sz="8" w:color="auto"/>
            </w:tcBorders>
          </w:tcPr>
          <w:p>
            <w:pPr>
              <w:jc w:val="right"/>
              <w:ind w:right="239"/>
              <w:spacing w:after="0" w:line="202" w:lineRule="exact"/>
              <w:rPr>
                <w:sz w:val="20"/>
                <w:szCs w:val="20"/>
                <w:color w:val="auto"/>
              </w:rPr>
            </w:pPr>
            <w:r>
              <w:rPr>
                <w:rFonts w:ascii="Arial" w:cs="Arial" w:eastAsia="Arial" w:hAnsi="Arial"/>
                <w:sz w:val="16"/>
                <w:szCs w:val="16"/>
                <w:b w:val="1"/>
                <w:bCs w:val="1"/>
                <w:color w:val="auto"/>
              </w:rPr>
              <w:t>Cost</w:t>
            </w:r>
            <w:r>
              <w:rPr>
                <w:rFonts w:ascii="Arial" w:cs="Arial" w:eastAsia="Arial" w:hAnsi="Arial"/>
                <w:sz w:val="18"/>
                <w:szCs w:val="18"/>
                <w:b w:val="1"/>
                <w:bCs w:val="1"/>
                <w:color w:val="auto"/>
                <w:vertAlign w:val="superscript"/>
              </w:rPr>
              <w:t>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 Date</w:t>
            </w:r>
            <w:r>
              <w:rPr>
                <w:rFonts w:ascii="Arial" w:cs="Arial" w:eastAsia="Arial" w:hAnsi="Arial"/>
                <w:sz w:val="9"/>
                <w:szCs w:val="9"/>
                <w:b w:val="1"/>
                <w:bCs w:val="1"/>
                <w:color w:val="auto"/>
              </w:rPr>
              <w:t>2</w:t>
            </w:r>
          </w:p>
        </w:tc>
        <w:tc>
          <w:tcPr>
            <w:tcW w:w="174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115"/>
        </w:trPr>
        <w:tc>
          <w:tcPr>
            <w:tcW w:w="3320" w:type="dxa"/>
            <w:vAlign w:val="bottom"/>
            <w:gridSpan w:val="2"/>
          </w:tcPr>
          <w:p>
            <w:pPr>
              <w:spacing w:after="0" w:line="115" w:lineRule="exact"/>
              <w:rPr>
                <w:sz w:val="20"/>
                <w:szCs w:val="20"/>
                <w:color w:val="auto"/>
              </w:rPr>
            </w:pPr>
            <w:r>
              <w:rPr>
                <w:rFonts w:ascii="Arial" w:cs="Arial" w:eastAsia="Arial" w:hAnsi="Arial"/>
                <w:sz w:val="13"/>
                <w:szCs w:val="13"/>
                <w:i w:val="1"/>
                <w:iCs w:val="1"/>
                <w:color w:val="auto"/>
              </w:rPr>
              <w:t>(Canadian dollars, unless stated otherwise)</w:t>
            </w:r>
          </w:p>
        </w:tc>
        <w:tc>
          <w:tcPr>
            <w:tcW w:w="17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3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LIQUIDS PIPELINES</w:t>
            </w:r>
          </w:p>
        </w:tc>
        <w:tc>
          <w:tcPr>
            <w:tcW w:w="17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380" w:type="dxa"/>
            <w:vAlign w:val="bottom"/>
          </w:tcPr>
          <w:p>
            <w:pPr>
              <w:spacing w:after="0"/>
              <w:rPr>
                <w:sz w:val="12"/>
                <w:szCs w:val="12"/>
                <w:color w:val="auto"/>
              </w:rPr>
            </w:pPr>
          </w:p>
        </w:tc>
        <w:tc>
          <w:tcPr>
            <w:tcW w:w="2940" w:type="dxa"/>
            <w:vAlign w:val="bottom"/>
          </w:tcPr>
          <w:p>
            <w:pPr>
              <w:ind w:left="160"/>
              <w:spacing w:after="0" w:line="142" w:lineRule="exact"/>
              <w:rPr>
                <w:sz w:val="20"/>
                <w:szCs w:val="20"/>
                <w:color w:val="auto"/>
              </w:rPr>
            </w:pPr>
            <w:r>
              <w:rPr>
                <w:rFonts w:ascii="Arial" w:cs="Arial" w:eastAsia="Arial" w:hAnsi="Arial"/>
                <w:sz w:val="16"/>
                <w:szCs w:val="16"/>
                <w:color w:val="auto"/>
              </w:rPr>
              <w:t>Mainline Optimization</w:t>
            </w:r>
          </w:p>
        </w:tc>
        <w:tc>
          <w:tcPr>
            <w:tcW w:w="1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40" w:type="dxa"/>
            <w:vAlign w:val="bottom"/>
          </w:tcPr>
          <w:p>
            <w:pPr>
              <w:jc w:val="right"/>
              <w:ind w:right="239"/>
              <w:spacing w:after="0" w:line="142" w:lineRule="exact"/>
              <w:rPr>
                <w:sz w:val="20"/>
                <w:szCs w:val="20"/>
                <w:color w:val="auto"/>
              </w:rPr>
            </w:pPr>
            <w:r>
              <w:rPr>
                <w:rFonts w:ascii="Arial" w:cs="Arial" w:eastAsia="Arial" w:hAnsi="Arial"/>
                <w:sz w:val="16"/>
                <w:szCs w:val="16"/>
                <w:color w:val="auto"/>
              </w:rPr>
              <w:t>Pre-</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1.</w:t>
            </w:r>
          </w:p>
        </w:tc>
        <w:tc>
          <w:tcPr>
            <w:tcW w:w="29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Phase 1</w:t>
            </w:r>
          </w:p>
        </w:tc>
        <w:tc>
          <w:tcPr>
            <w:tcW w:w="17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100%</w:t>
            </w: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US$1.4 billion</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US$100 million</w:t>
            </w: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construction</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2027</w:t>
            </w:r>
          </w:p>
        </w:tc>
        <w:tc>
          <w:tcPr>
            <w:tcW w:w="0" w:type="dxa"/>
            <w:vAlign w:val="bottom"/>
          </w:tcPr>
          <w:p>
            <w:pPr>
              <w:spacing w:after="0"/>
              <w:rPr>
                <w:sz w:val="1"/>
                <w:szCs w:val="1"/>
                <w:color w:val="auto"/>
              </w:rPr>
            </w:pPr>
          </w:p>
        </w:tc>
      </w:tr>
      <w:tr>
        <w:trPr>
          <w:trHeight w:val="141"/>
        </w:trPr>
        <w:tc>
          <w:tcPr>
            <w:tcW w:w="3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jc w:val="right"/>
              <w:spacing w:after="0" w:line="142" w:lineRule="exact"/>
              <w:rPr>
                <w:sz w:val="20"/>
                <w:szCs w:val="20"/>
                <w:color w:val="auto"/>
              </w:rPr>
            </w:pPr>
            <w:r>
              <w:rPr>
                <w:rFonts w:ascii="Arial" w:cs="Arial" w:eastAsia="Arial" w:hAnsi="Arial"/>
                <w:sz w:val="16"/>
                <w:szCs w:val="16"/>
                <w:color w:val="auto"/>
              </w:rPr>
              <w:t>No significant</w:t>
            </w:r>
          </w:p>
        </w:tc>
        <w:tc>
          <w:tcPr>
            <w:tcW w:w="1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2940" w:type="dxa"/>
            <w:vAlign w:val="bottom"/>
          </w:tcPr>
          <w:p>
            <w:pPr>
              <w:ind w:left="160"/>
              <w:spacing w:after="0" w:line="175" w:lineRule="exact"/>
              <w:rPr>
                <w:sz w:val="20"/>
                <w:szCs w:val="20"/>
                <w:color w:val="auto"/>
              </w:rPr>
            </w:pPr>
            <w:r>
              <w:rPr>
                <w:rFonts w:ascii="Arial" w:cs="Arial" w:eastAsia="Arial" w:hAnsi="Arial"/>
                <w:sz w:val="16"/>
                <w:szCs w:val="16"/>
                <w:color w:val="auto"/>
              </w:rPr>
              <w:t>Southern Illinois</w:t>
            </w: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00" w:type="dxa"/>
            <w:vAlign w:val="bottom"/>
          </w:tcPr>
          <w:p>
            <w:pPr>
              <w:jc w:val="right"/>
              <w:spacing w:after="0" w:line="175" w:lineRule="exact"/>
              <w:rPr>
                <w:sz w:val="20"/>
                <w:szCs w:val="20"/>
                <w:color w:val="auto"/>
              </w:rPr>
            </w:pPr>
            <w:r>
              <w:rPr>
                <w:rFonts w:ascii="Arial" w:cs="Arial" w:eastAsia="Arial" w:hAnsi="Arial"/>
                <w:sz w:val="16"/>
                <w:szCs w:val="16"/>
                <w:color w:val="auto"/>
              </w:rPr>
              <w:t>expenditures to</w:t>
            </w:r>
          </w:p>
        </w:tc>
        <w:tc>
          <w:tcPr>
            <w:tcW w:w="1740" w:type="dxa"/>
            <w:vAlign w:val="bottom"/>
          </w:tcPr>
          <w:p>
            <w:pPr>
              <w:jc w:val="right"/>
              <w:ind w:right="239"/>
              <w:spacing w:after="0" w:line="175" w:lineRule="exact"/>
              <w:rPr>
                <w:sz w:val="20"/>
                <w:szCs w:val="20"/>
                <w:color w:val="auto"/>
              </w:rPr>
            </w:pPr>
            <w:r>
              <w:rPr>
                <w:rFonts w:ascii="Arial" w:cs="Arial" w:eastAsia="Arial" w:hAnsi="Arial"/>
                <w:sz w:val="16"/>
                <w:szCs w:val="16"/>
                <w:color w:val="auto"/>
              </w:rPr>
              <w:t>Pre-</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w:t>
            </w:r>
          </w:p>
        </w:tc>
        <w:tc>
          <w:tcPr>
            <w:tcW w:w="29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Connector</w:t>
            </w:r>
          </w:p>
        </w:tc>
        <w:tc>
          <w:tcPr>
            <w:tcW w:w="1700" w:type="dxa"/>
            <w:vAlign w:val="bottom"/>
            <w:tcBorders>
              <w:bottom w:val="single" w:sz="8" w:color="auto"/>
            </w:tcBorders>
          </w:tcPr>
          <w:p>
            <w:pPr>
              <w:jc w:val="right"/>
              <w:ind w:right="319"/>
              <w:spacing w:after="0" w:line="203" w:lineRule="exact"/>
              <w:rPr>
                <w:sz w:val="20"/>
                <w:szCs w:val="20"/>
                <w:color w:val="auto"/>
              </w:rPr>
            </w:pPr>
            <w:r>
              <w:rPr>
                <w:rFonts w:ascii="Arial" w:cs="Arial" w:eastAsia="Arial" w:hAnsi="Arial"/>
                <w:sz w:val="16"/>
                <w:szCs w:val="16"/>
                <w:color w:val="auto"/>
              </w:rPr>
              <w:t>100%</w:t>
            </w:r>
            <w:r>
              <w:rPr>
                <w:rFonts w:ascii="Arial" w:cs="Arial" w:eastAsia="Arial" w:hAnsi="Arial"/>
                <w:sz w:val="18"/>
                <w:szCs w:val="18"/>
                <w:color w:val="auto"/>
                <w:vertAlign w:val="superscript"/>
              </w:rPr>
              <w:t>3</w:t>
            </w: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US$0.5 billion</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date</w:t>
            </w: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construction</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141"/>
        </w:trPr>
        <w:tc>
          <w:tcPr>
            <w:tcW w:w="3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jc w:val="right"/>
              <w:spacing w:after="0" w:line="142" w:lineRule="exact"/>
              <w:rPr>
                <w:sz w:val="20"/>
                <w:szCs w:val="20"/>
                <w:color w:val="auto"/>
              </w:rPr>
            </w:pPr>
            <w:r>
              <w:rPr>
                <w:rFonts w:ascii="Arial" w:cs="Arial" w:eastAsia="Arial" w:hAnsi="Arial"/>
                <w:sz w:val="16"/>
                <w:szCs w:val="16"/>
                <w:color w:val="auto"/>
              </w:rPr>
              <w:t>No significant</w:t>
            </w:r>
          </w:p>
        </w:tc>
        <w:tc>
          <w:tcPr>
            <w:tcW w:w="1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00" w:type="dxa"/>
            <w:vAlign w:val="bottom"/>
          </w:tcPr>
          <w:p>
            <w:pPr>
              <w:jc w:val="right"/>
              <w:spacing w:after="0" w:line="175" w:lineRule="exact"/>
              <w:rPr>
                <w:sz w:val="20"/>
                <w:szCs w:val="20"/>
                <w:color w:val="auto"/>
              </w:rPr>
            </w:pPr>
            <w:r>
              <w:rPr>
                <w:rFonts w:ascii="Arial" w:cs="Arial" w:eastAsia="Arial" w:hAnsi="Arial"/>
                <w:sz w:val="16"/>
                <w:szCs w:val="16"/>
                <w:color w:val="auto"/>
              </w:rPr>
              <w:t>expenditures to</w:t>
            </w:r>
          </w:p>
        </w:tc>
        <w:tc>
          <w:tcPr>
            <w:tcW w:w="1740" w:type="dxa"/>
            <w:vAlign w:val="bottom"/>
          </w:tcPr>
          <w:p>
            <w:pPr>
              <w:jc w:val="right"/>
              <w:ind w:right="239"/>
              <w:spacing w:after="0" w:line="175" w:lineRule="exact"/>
              <w:rPr>
                <w:sz w:val="20"/>
                <w:szCs w:val="20"/>
                <w:color w:val="auto"/>
              </w:rPr>
            </w:pPr>
            <w:r>
              <w:rPr>
                <w:rFonts w:ascii="Arial" w:cs="Arial" w:eastAsia="Arial" w:hAnsi="Arial"/>
                <w:sz w:val="16"/>
                <w:szCs w:val="16"/>
                <w:color w:val="auto"/>
              </w:rPr>
              <w:t>Pre-</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3.</w:t>
            </w:r>
          </w:p>
        </w:tc>
        <w:tc>
          <w:tcPr>
            <w:tcW w:w="29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Pelican CO</w:t>
            </w:r>
            <w:r>
              <w:rPr>
                <w:rFonts w:ascii="Arial" w:cs="Arial" w:eastAsia="Arial" w:hAnsi="Arial"/>
                <w:sz w:val="10"/>
                <w:szCs w:val="10"/>
                <w:color w:val="auto"/>
              </w:rPr>
              <w:t>2</w:t>
            </w:r>
            <w:r>
              <w:rPr>
                <w:rFonts w:ascii="Arial" w:cs="Arial" w:eastAsia="Arial" w:hAnsi="Arial"/>
                <w:sz w:val="16"/>
                <w:szCs w:val="16"/>
                <w:color w:val="auto"/>
              </w:rPr>
              <w:t xml:space="preserve"> Hub</w:t>
            </w:r>
          </w:p>
        </w:tc>
        <w:tc>
          <w:tcPr>
            <w:tcW w:w="17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50%</w:t>
            </w: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US$0.3 billion</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date</w:t>
            </w: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construction</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169"/>
        </w:trPr>
        <w:tc>
          <w:tcPr>
            <w:tcW w:w="332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rPr>
              <w:t>GAS TRANSMISSION</w:t>
            </w:r>
          </w:p>
        </w:tc>
        <w:tc>
          <w:tcPr>
            <w:tcW w:w="17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80" w:type="dxa"/>
            <w:vAlign w:val="bottom"/>
          </w:tcPr>
          <w:p>
            <w:pPr>
              <w:spacing w:after="0"/>
              <w:rPr>
                <w:sz w:val="12"/>
                <w:szCs w:val="12"/>
                <w:color w:val="auto"/>
              </w:rPr>
            </w:pPr>
          </w:p>
        </w:tc>
        <w:tc>
          <w:tcPr>
            <w:tcW w:w="2940" w:type="dxa"/>
            <w:vAlign w:val="bottom"/>
          </w:tcPr>
          <w:p>
            <w:pPr>
              <w:ind w:left="160"/>
              <w:spacing w:after="0" w:line="142" w:lineRule="exact"/>
              <w:rPr>
                <w:sz w:val="20"/>
                <w:szCs w:val="20"/>
                <w:color w:val="auto"/>
              </w:rPr>
            </w:pPr>
            <w:r>
              <w:rPr>
                <w:rFonts w:ascii="Arial" w:cs="Arial" w:eastAsia="Arial" w:hAnsi="Arial"/>
                <w:sz w:val="16"/>
                <w:szCs w:val="16"/>
                <w:color w:val="auto"/>
              </w:rPr>
              <w:t>Texas Eastern</w:t>
            </w:r>
          </w:p>
        </w:tc>
        <w:tc>
          <w:tcPr>
            <w:tcW w:w="1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4.</w:t>
            </w:r>
          </w:p>
        </w:tc>
        <w:tc>
          <w:tcPr>
            <w:tcW w:w="29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Modernization</w:t>
            </w:r>
          </w:p>
        </w:tc>
        <w:tc>
          <w:tcPr>
            <w:tcW w:w="17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100%</w:t>
            </w: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US$0.4 billion</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US$295 million</w:t>
            </w: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Various stages</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141"/>
        </w:trPr>
        <w:tc>
          <w:tcPr>
            <w:tcW w:w="380" w:type="dxa"/>
            <w:vAlign w:val="bottom"/>
          </w:tcPr>
          <w:p>
            <w:pPr>
              <w:spacing w:after="0"/>
              <w:rPr>
                <w:sz w:val="12"/>
                <w:szCs w:val="12"/>
                <w:color w:val="auto"/>
              </w:rPr>
            </w:pPr>
          </w:p>
        </w:tc>
        <w:tc>
          <w:tcPr>
            <w:tcW w:w="2940" w:type="dxa"/>
            <w:vAlign w:val="bottom"/>
          </w:tcPr>
          <w:p>
            <w:pPr>
              <w:ind w:left="160"/>
              <w:spacing w:after="0" w:line="142" w:lineRule="exact"/>
              <w:rPr>
                <w:sz w:val="20"/>
                <w:szCs w:val="20"/>
                <w:color w:val="auto"/>
              </w:rPr>
            </w:pPr>
            <w:r>
              <w:rPr>
                <w:rFonts w:ascii="Arial" w:cs="Arial" w:eastAsia="Arial" w:hAnsi="Arial"/>
                <w:sz w:val="16"/>
                <w:szCs w:val="16"/>
                <w:color w:val="auto"/>
              </w:rPr>
              <w:t>T-North Expansion</w:t>
            </w:r>
          </w:p>
        </w:tc>
        <w:tc>
          <w:tcPr>
            <w:tcW w:w="1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40" w:type="dxa"/>
            <w:vAlign w:val="bottom"/>
          </w:tcPr>
          <w:p>
            <w:pPr>
              <w:jc w:val="right"/>
              <w:ind w:right="239"/>
              <w:spacing w:after="0" w:line="142" w:lineRule="exact"/>
              <w:rPr>
                <w:sz w:val="20"/>
                <w:szCs w:val="20"/>
                <w:color w:val="auto"/>
              </w:rPr>
            </w:pPr>
            <w:r>
              <w:rPr>
                <w:rFonts w:ascii="Arial" w:cs="Arial" w:eastAsia="Arial" w:hAnsi="Arial"/>
                <w:sz w:val="16"/>
                <w:szCs w:val="16"/>
                <w:color w:val="auto"/>
              </w:rPr>
              <w:t>Under</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5.</w:t>
            </w:r>
          </w:p>
        </w:tc>
        <w:tc>
          <w:tcPr>
            <w:tcW w:w="29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(Aspen Point)</w:t>
            </w:r>
          </w:p>
        </w:tc>
        <w:tc>
          <w:tcPr>
            <w:tcW w:w="1700" w:type="dxa"/>
            <w:vAlign w:val="bottom"/>
            <w:tcBorders>
              <w:bottom w:val="single" w:sz="8" w:color="auto"/>
            </w:tcBorders>
          </w:tcPr>
          <w:p>
            <w:pPr>
              <w:jc w:val="right"/>
              <w:ind w:right="319"/>
              <w:spacing w:after="0" w:line="203" w:lineRule="exact"/>
              <w:rPr>
                <w:sz w:val="20"/>
                <w:szCs w:val="20"/>
                <w:color w:val="auto"/>
              </w:rPr>
            </w:pPr>
            <w:r>
              <w:rPr>
                <w:rFonts w:ascii="Arial" w:cs="Arial" w:eastAsia="Arial" w:hAnsi="Arial"/>
                <w:sz w:val="16"/>
                <w:szCs w:val="16"/>
                <w:color w:val="auto"/>
              </w:rPr>
              <w:t>100%</w:t>
            </w:r>
            <w:r>
              <w:rPr>
                <w:rFonts w:ascii="Arial" w:cs="Arial" w:eastAsia="Arial" w:hAnsi="Arial"/>
                <w:sz w:val="18"/>
                <w:szCs w:val="18"/>
                <w:color w:val="auto"/>
                <w:vertAlign w:val="superscript"/>
              </w:rPr>
              <w:t>4</w:t>
            </w: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$1.2 billion</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 million</w:t>
            </w: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construction</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169"/>
        </w:trPr>
        <w:tc>
          <w:tcPr>
            <w:tcW w:w="38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color w:val="auto"/>
              </w:rPr>
              <w:t>6.</w:t>
            </w:r>
          </w:p>
        </w:tc>
        <w:tc>
          <w:tcPr>
            <w:tcW w:w="2940" w:type="dxa"/>
            <w:vAlign w:val="bottom"/>
            <w:tcBorders>
              <w:bottom w:val="single" w:sz="8" w:color="auto"/>
            </w:tcBorders>
          </w:tcPr>
          <w:p>
            <w:pPr>
              <w:ind w:left="160"/>
              <w:spacing w:after="0" w:line="169" w:lineRule="exact"/>
              <w:rPr>
                <w:sz w:val="20"/>
                <w:szCs w:val="20"/>
                <w:color w:val="auto"/>
              </w:rPr>
            </w:pPr>
            <w:r>
              <w:rPr>
                <w:rFonts w:ascii="Arial" w:cs="Arial" w:eastAsia="Arial" w:hAnsi="Arial"/>
                <w:sz w:val="16"/>
                <w:szCs w:val="16"/>
                <w:color w:val="auto"/>
              </w:rPr>
              <w:t>Tennessee Ridgeline Expansion</w:t>
            </w:r>
          </w:p>
        </w:tc>
        <w:tc>
          <w:tcPr>
            <w:tcW w:w="1700" w:type="dxa"/>
            <w:vAlign w:val="bottom"/>
            <w:tcBorders>
              <w:bottom w:val="single" w:sz="8" w:color="auto"/>
            </w:tcBorders>
          </w:tcPr>
          <w:p>
            <w:pPr>
              <w:jc w:val="right"/>
              <w:ind w:right="319"/>
              <w:spacing w:after="0" w:line="169" w:lineRule="exact"/>
              <w:rPr>
                <w:sz w:val="20"/>
                <w:szCs w:val="20"/>
                <w:color w:val="auto"/>
              </w:rPr>
            </w:pPr>
            <w:r>
              <w:rPr>
                <w:rFonts w:ascii="Arial" w:cs="Arial" w:eastAsia="Arial" w:hAnsi="Arial"/>
                <w:sz w:val="16"/>
                <w:szCs w:val="16"/>
                <w:color w:val="auto"/>
              </w:rPr>
              <w:t>100%</w:t>
            </w:r>
          </w:p>
        </w:tc>
        <w:tc>
          <w:tcPr>
            <w:tcW w:w="170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US$1.4 billion</w:t>
            </w: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US$800 million</w:t>
            </w:r>
          </w:p>
        </w:tc>
        <w:tc>
          <w:tcPr>
            <w:tcW w:w="174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Under construction</w:t>
            </w:r>
          </w:p>
        </w:tc>
        <w:tc>
          <w:tcPr>
            <w:tcW w:w="128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169"/>
        </w:trPr>
        <w:tc>
          <w:tcPr>
            <w:tcW w:w="38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color w:val="auto"/>
              </w:rPr>
              <w:t>7.</w:t>
            </w:r>
          </w:p>
        </w:tc>
        <w:tc>
          <w:tcPr>
            <w:tcW w:w="2940" w:type="dxa"/>
            <w:vAlign w:val="bottom"/>
            <w:tcBorders>
              <w:bottom w:val="single" w:sz="8" w:color="auto"/>
            </w:tcBorders>
          </w:tcPr>
          <w:p>
            <w:pPr>
              <w:ind w:left="160"/>
              <w:spacing w:after="0" w:line="169" w:lineRule="exact"/>
              <w:rPr>
                <w:sz w:val="20"/>
                <w:szCs w:val="20"/>
                <w:color w:val="auto"/>
              </w:rPr>
            </w:pPr>
            <w:r>
              <w:rPr>
                <w:rFonts w:ascii="Arial" w:cs="Arial" w:eastAsia="Arial" w:hAnsi="Arial"/>
                <w:sz w:val="16"/>
                <w:szCs w:val="16"/>
                <w:color w:val="auto"/>
              </w:rPr>
              <w:t>Woodfibre LNG</w:t>
            </w:r>
            <w:r>
              <w:rPr>
                <w:rFonts w:ascii="Arial" w:cs="Arial" w:eastAsia="Arial" w:hAnsi="Arial"/>
                <w:sz w:val="18"/>
                <w:szCs w:val="18"/>
                <w:color w:val="auto"/>
                <w:vertAlign w:val="superscript"/>
              </w:rPr>
              <w:t>5</w:t>
            </w:r>
          </w:p>
        </w:tc>
        <w:tc>
          <w:tcPr>
            <w:tcW w:w="1700" w:type="dxa"/>
            <w:vAlign w:val="bottom"/>
            <w:tcBorders>
              <w:bottom w:val="single" w:sz="8" w:color="auto"/>
            </w:tcBorders>
          </w:tcPr>
          <w:p>
            <w:pPr>
              <w:jc w:val="right"/>
              <w:ind w:right="319"/>
              <w:spacing w:after="0" w:line="169" w:lineRule="exact"/>
              <w:rPr>
                <w:sz w:val="20"/>
                <w:szCs w:val="20"/>
                <w:color w:val="auto"/>
              </w:rPr>
            </w:pPr>
            <w:r>
              <w:rPr>
                <w:rFonts w:ascii="Arial" w:cs="Arial" w:eastAsia="Arial" w:hAnsi="Arial"/>
                <w:sz w:val="16"/>
                <w:szCs w:val="16"/>
                <w:color w:val="auto"/>
              </w:rPr>
              <w:t>30%</w:t>
            </w:r>
          </w:p>
        </w:tc>
        <w:tc>
          <w:tcPr>
            <w:tcW w:w="170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US$2.9 billion</w:t>
            </w: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US$1.8 billion</w:t>
            </w:r>
          </w:p>
        </w:tc>
        <w:tc>
          <w:tcPr>
            <w:tcW w:w="174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Under construction</w:t>
            </w:r>
          </w:p>
        </w:tc>
        <w:tc>
          <w:tcPr>
            <w:tcW w:w="128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2027</w:t>
            </w:r>
          </w:p>
        </w:tc>
        <w:tc>
          <w:tcPr>
            <w:tcW w:w="0" w:type="dxa"/>
            <w:vAlign w:val="bottom"/>
          </w:tcPr>
          <w:p>
            <w:pPr>
              <w:spacing w:after="0"/>
              <w:rPr>
                <w:sz w:val="1"/>
                <w:szCs w:val="1"/>
                <w:color w:val="auto"/>
              </w:rPr>
            </w:pPr>
          </w:p>
        </w:tc>
      </w:tr>
      <w:tr>
        <w:trPr>
          <w:trHeight w:val="169"/>
        </w:trPr>
        <w:tc>
          <w:tcPr>
            <w:tcW w:w="38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color w:val="auto"/>
              </w:rPr>
              <w:t>8.</w:t>
            </w:r>
          </w:p>
        </w:tc>
        <w:tc>
          <w:tcPr>
            <w:tcW w:w="2940" w:type="dxa"/>
            <w:vAlign w:val="bottom"/>
            <w:tcBorders>
              <w:bottom w:val="single" w:sz="8" w:color="auto"/>
            </w:tcBorders>
          </w:tcPr>
          <w:p>
            <w:pPr>
              <w:ind w:left="160"/>
              <w:spacing w:after="0" w:line="169" w:lineRule="exact"/>
              <w:rPr>
                <w:sz w:val="20"/>
                <w:szCs w:val="20"/>
                <w:color w:val="auto"/>
              </w:rPr>
            </w:pPr>
            <w:r>
              <w:rPr>
                <w:rFonts w:ascii="Arial" w:cs="Arial" w:eastAsia="Arial" w:hAnsi="Arial"/>
                <w:sz w:val="16"/>
                <w:szCs w:val="16"/>
                <w:color w:val="auto"/>
              </w:rPr>
              <w:t>T-South Expansion (Sunrise)</w:t>
            </w:r>
          </w:p>
        </w:tc>
        <w:tc>
          <w:tcPr>
            <w:tcW w:w="1700" w:type="dxa"/>
            <w:vAlign w:val="bottom"/>
            <w:tcBorders>
              <w:bottom w:val="single" w:sz="8" w:color="auto"/>
            </w:tcBorders>
          </w:tcPr>
          <w:p>
            <w:pPr>
              <w:jc w:val="right"/>
              <w:ind w:right="319"/>
              <w:spacing w:after="0" w:line="169" w:lineRule="exact"/>
              <w:rPr>
                <w:sz w:val="20"/>
                <w:szCs w:val="20"/>
                <w:color w:val="auto"/>
              </w:rPr>
            </w:pPr>
            <w:r>
              <w:rPr>
                <w:rFonts w:ascii="Arial" w:cs="Arial" w:eastAsia="Arial" w:hAnsi="Arial"/>
                <w:sz w:val="16"/>
                <w:szCs w:val="16"/>
                <w:color w:val="auto"/>
              </w:rPr>
              <w:t>100%</w:t>
            </w:r>
            <w:r>
              <w:rPr>
                <w:rFonts w:ascii="Arial" w:cs="Arial" w:eastAsia="Arial" w:hAnsi="Arial"/>
                <w:sz w:val="18"/>
                <w:szCs w:val="18"/>
                <w:color w:val="auto"/>
                <w:vertAlign w:val="superscript"/>
              </w:rPr>
              <w:t>4</w:t>
            </w:r>
          </w:p>
        </w:tc>
        <w:tc>
          <w:tcPr>
            <w:tcW w:w="170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$4.0 billion</w:t>
            </w: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$683 million</w:t>
            </w:r>
          </w:p>
        </w:tc>
        <w:tc>
          <w:tcPr>
            <w:tcW w:w="174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Pre-construction</w:t>
            </w:r>
          </w:p>
        </w:tc>
        <w:tc>
          <w:tcPr>
            <w:tcW w:w="128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141"/>
        </w:trPr>
        <w:tc>
          <w:tcPr>
            <w:tcW w:w="380" w:type="dxa"/>
            <w:vAlign w:val="bottom"/>
          </w:tcPr>
          <w:p>
            <w:pPr>
              <w:spacing w:after="0"/>
              <w:rPr>
                <w:sz w:val="12"/>
                <w:szCs w:val="12"/>
                <w:color w:val="auto"/>
              </w:rPr>
            </w:pPr>
          </w:p>
        </w:tc>
        <w:tc>
          <w:tcPr>
            <w:tcW w:w="2940" w:type="dxa"/>
            <w:vAlign w:val="bottom"/>
          </w:tcPr>
          <w:p>
            <w:pPr>
              <w:ind w:left="160"/>
              <w:spacing w:after="0" w:line="142" w:lineRule="exact"/>
              <w:rPr>
                <w:sz w:val="20"/>
                <w:szCs w:val="20"/>
                <w:color w:val="auto"/>
              </w:rPr>
            </w:pPr>
            <w:r>
              <w:rPr>
                <w:rFonts w:ascii="Arial" w:cs="Arial" w:eastAsia="Arial" w:hAnsi="Arial"/>
                <w:sz w:val="16"/>
                <w:szCs w:val="16"/>
                <w:color w:val="auto"/>
              </w:rPr>
              <w:t>T-North Expansion</w:t>
            </w:r>
          </w:p>
        </w:tc>
        <w:tc>
          <w:tcPr>
            <w:tcW w:w="1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40" w:type="dxa"/>
            <w:vAlign w:val="bottom"/>
          </w:tcPr>
          <w:p>
            <w:pPr>
              <w:jc w:val="right"/>
              <w:ind w:right="239"/>
              <w:spacing w:after="0" w:line="142" w:lineRule="exact"/>
              <w:rPr>
                <w:sz w:val="20"/>
                <w:szCs w:val="20"/>
                <w:color w:val="auto"/>
              </w:rPr>
            </w:pPr>
            <w:r>
              <w:rPr>
                <w:rFonts w:ascii="Arial" w:cs="Arial" w:eastAsia="Arial" w:hAnsi="Arial"/>
                <w:sz w:val="16"/>
                <w:szCs w:val="16"/>
                <w:color w:val="auto"/>
              </w:rPr>
              <w:t>Pre-</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9.</w:t>
            </w:r>
          </w:p>
        </w:tc>
        <w:tc>
          <w:tcPr>
            <w:tcW w:w="29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(Birch Grove)</w:t>
            </w:r>
          </w:p>
        </w:tc>
        <w:tc>
          <w:tcPr>
            <w:tcW w:w="1700" w:type="dxa"/>
            <w:vAlign w:val="bottom"/>
            <w:tcBorders>
              <w:bottom w:val="single" w:sz="8" w:color="auto"/>
            </w:tcBorders>
          </w:tcPr>
          <w:p>
            <w:pPr>
              <w:jc w:val="right"/>
              <w:ind w:right="319"/>
              <w:spacing w:after="0" w:line="203" w:lineRule="exact"/>
              <w:rPr>
                <w:sz w:val="20"/>
                <w:szCs w:val="20"/>
                <w:color w:val="auto"/>
              </w:rPr>
            </w:pPr>
            <w:r>
              <w:rPr>
                <w:rFonts w:ascii="Arial" w:cs="Arial" w:eastAsia="Arial" w:hAnsi="Arial"/>
                <w:sz w:val="16"/>
                <w:szCs w:val="16"/>
                <w:color w:val="auto"/>
              </w:rPr>
              <w:t>100%</w:t>
            </w:r>
            <w:r>
              <w:rPr>
                <w:rFonts w:ascii="Arial" w:cs="Arial" w:eastAsia="Arial" w:hAnsi="Arial"/>
                <w:sz w:val="18"/>
                <w:szCs w:val="18"/>
                <w:color w:val="auto"/>
                <w:vertAlign w:val="superscript"/>
              </w:rPr>
              <w:t>4</w:t>
            </w: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$0.4 billion</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 million</w:t>
            </w: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construction</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169"/>
        </w:trPr>
        <w:tc>
          <w:tcPr>
            <w:tcW w:w="38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color w:val="auto"/>
              </w:rPr>
              <w:t>10.</w:t>
            </w:r>
          </w:p>
        </w:tc>
        <w:tc>
          <w:tcPr>
            <w:tcW w:w="2940" w:type="dxa"/>
            <w:vAlign w:val="bottom"/>
            <w:tcBorders>
              <w:bottom w:val="single" w:sz="8" w:color="auto"/>
            </w:tcBorders>
          </w:tcPr>
          <w:p>
            <w:pPr>
              <w:ind w:left="160"/>
              <w:spacing w:after="0" w:line="169" w:lineRule="exact"/>
              <w:rPr>
                <w:sz w:val="20"/>
                <w:szCs w:val="20"/>
                <w:color w:val="auto"/>
              </w:rPr>
            </w:pPr>
            <w:r>
              <w:rPr>
                <w:rFonts w:ascii="Arial" w:cs="Arial" w:eastAsia="Arial" w:hAnsi="Arial"/>
                <w:sz w:val="16"/>
                <w:szCs w:val="16"/>
                <w:color w:val="auto"/>
              </w:rPr>
              <w:t>Canyon System Pipelines</w:t>
            </w:r>
          </w:p>
        </w:tc>
        <w:tc>
          <w:tcPr>
            <w:tcW w:w="1700" w:type="dxa"/>
            <w:vAlign w:val="bottom"/>
            <w:tcBorders>
              <w:bottom w:val="single" w:sz="8" w:color="auto"/>
            </w:tcBorders>
          </w:tcPr>
          <w:p>
            <w:pPr>
              <w:jc w:val="right"/>
              <w:ind w:right="319"/>
              <w:spacing w:after="0" w:line="169" w:lineRule="exact"/>
              <w:rPr>
                <w:sz w:val="20"/>
                <w:szCs w:val="20"/>
                <w:color w:val="auto"/>
              </w:rPr>
            </w:pPr>
            <w:r>
              <w:rPr>
                <w:rFonts w:ascii="Arial" w:cs="Arial" w:eastAsia="Arial" w:hAnsi="Arial"/>
                <w:sz w:val="16"/>
                <w:szCs w:val="16"/>
                <w:color w:val="auto"/>
              </w:rPr>
              <w:t>100%</w:t>
            </w:r>
          </w:p>
        </w:tc>
        <w:tc>
          <w:tcPr>
            <w:tcW w:w="170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US$1.0 billion</w:t>
            </w: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US$217 million</w:t>
            </w:r>
          </w:p>
        </w:tc>
        <w:tc>
          <w:tcPr>
            <w:tcW w:w="174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Pre-construction</w:t>
            </w:r>
          </w:p>
        </w:tc>
        <w:tc>
          <w:tcPr>
            <w:tcW w:w="128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141"/>
        </w:trPr>
        <w:tc>
          <w:tcPr>
            <w:tcW w:w="380" w:type="dxa"/>
            <w:vAlign w:val="bottom"/>
          </w:tcPr>
          <w:p>
            <w:pPr>
              <w:spacing w:after="0"/>
              <w:rPr>
                <w:sz w:val="12"/>
                <w:szCs w:val="12"/>
                <w:color w:val="auto"/>
              </w:rPr>
            </w:pPr>
          </w:p>
        </w:tc>
        <w:tc>
          <w:tcPr>
            <w:tcW w:w="2940" w:type="dxa"/>
            <w:vAlign w:val="bottom"/>
          </w:tcPr>
          <w:p>
            <w:pPr>
              <w:ind w:left="160"/>
              <w:spacing w:after="0" w:line="142" w:lineRule="exact"/>
              <w:rPr>
                <w:sz w:val="20"/>
                <w:szCs w:val="20"/>
                <w:color w:val="auto"/>
              </w:rPr>
            </w:pPr>
            <w:r>
              <w:rPr>
                <w:rFonts w:ascii="Arial" w:cs="Arial" w:eastAsia="Arial" w:hAnsi="Arial"/>
                <w:sz w:val="16"/>
                <w:szCs w:val="16"/>
                <w:color w:val="auto"/>
              </w:rPr>
              <w:t>Algonquin Gas</w:t>
            </w:r>
          </w:p>
        </w:tc>
        <w:tc>
          <w:tcPr>
            <w:tcW w:w="1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jc w:val="right"/>
              <w:spacing w:after="0" w:line="142" w:lineRule="exact"/>
              <w:rPr>
                <w:sz w:val="20"/>
                <w:szCs w:val="20"/>
                <w:color w:val="auto"/>
              </w:rPr>
            </w:pPr>
            <w:r>
              <w:rPr>
                <w:rFonts w:ascii="Arial" w:cs="Arial" w:eastAsia="Arial" w:hAnsi="Arial"/>
                <w:sz w:val="16"/>
                <w:szCs w:val="16"/>
                <w:color w:val="auto"/>
              </w:rPr>
              <w:t>No significant</w:t>
            </w:r>
          </w:p>
        </w:tc>
        <w:tc>
          <w:tcPr>
            <w:tcW w:w="1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2940" w:type="dxa"/>
            <w:vAlign w:val="bottom"/>
          </w:tcPr>
          <w:p>
            <w:pPr>
              <w:ind w:left="280"/>
              <w:spacing w:after="0" w:line="175" w:lineRule="exact"/>
              <w:rPr>
                <w:sz w:val="20"/>
                <w:szCs w:val="20"/>
                <w:color w:val="auto"/>
              </w:rPr>
            </w:pPr>
            <w:r>
              <w:rPr>
                <w:rFonts w:ascii="Arial" w:cs="Arial" w:eastAsia="Arial" w:hAnsi="Arial"/>
                <w:sz w:val="16"/>
                <w:szCs w:val="16"/>
                <w:color w:val="auto"/>
              </w:rPr>
              <w:t>Transmission</w:t>
            </w: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00" w:type="dxa"/>
            <w:vAlign w:val="bottom"/>
          </w:tcPr>
          <w:p>
            <w:pPr>
              <w:jc w:val="right"/>
              <w:spacing w:after="0" w:line="175" w:lineRule="exact"/>
              <w:rPr>
                <w:sz w:val="20"/>
                <w:szCs w:val="20"/>
                <w:color w:val="auto"/>
              </w:rPr>
            </w:pPr>
            <w:r>
              <w:rPr>
                <w:rFonts w:ascii="Arial" w:cs="Arial" w:eastAsia="Arial" w:hAnsi="Arial"/>
                <w:sz w:val="16"/>
                <w:szCs w:val="16"/>
                <w:color w:val="auto"/>
              </w:rPr>
              <w:t>expenditures to</w:t>
            </w:r>
          </w:p>
        </w:tc>
        <w:tc>
          <w:tcPr>
            <w:tcW w:w="1740" w:type="dxa"/>
            <w:vAlign w:val="bottom"/>
          </w:tcPr>
          <w:p>
            <w:pPr>
              <w:jc w:val="right"/>
              <w:ind w:right="239"/>
              <w:spacing w:after="0" w:line="175" w:lineRule="exact"/>
              <w:rPr>
                <w:sz w:val="20"/>
                <w:szCs w:val="20"/>
                <w:color w:val="auto"/>
              </w:rPr>
            </w:pPr>
            <w:r>
              <w:rPr>
                <w:rFonts w:ascii="Arial" w:cs="Arial" w:eastAsia="Arial" w:hAnsi="Arial"/>
                <w:sz w:val="16"/>
                <w:szCs w:val="16"/>
                <w:color w:val="auto"/>
              </w:rPr>
              <w:t>Pre-</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11.</w:t>
            </w:r>
          </w:p>
        </w:tc>
        <w:tc>
          <w:tcPr>
            <w:tcW w:w="29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Enhancement</w:t>
            </w:r>
          </w:p>
        </w:tc>
        <w:tc>
          <w:tcPr>
            <w:tcW w:w="17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100%</w:t>
            </w: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US$0.3 billion</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date</w:t>
            </w: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construction</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141"/>
        </w:trPr>
        <w:tc>
          <w:tcPr>
            <w:tcW w:w="3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jc w:val="right"/>
              <w:spacing w:after="0" w:line="142" w:lineRule="exact"/>
              <w:rPr>
                <w:sz w:val="20"/>
                <w:szCs w:val="20"/>
                <w:color w:val="auto"/>
              </w:rPr>
            </w:pPr>
            <w:r>
              <w:rPr>
                <w:rFonts w:ascii="Arial" w:cs="Arial" w:eastAsia="Arial" w:hAnsi="Arial"/>
                <w:sz w:val="16"/>
                <w:szCs w:val="16"/>
                <w:color w:val="auto"/>
              </w:rPr>
              <w:t>No significant</w:t>
            </w:r>
          </w:p>
        </w:tc>
        <w:tc>
          <w:tcPr>
            <w:tcW w:w="1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2940" w:type="dxa"/>
            <w:vAlign w:val="bottom"/>
          </w:tcPr>
          <w:p>
            <w:pPr>
              <w:ind w:left="160"/>
              <w:spacing w:after="0" w:line="175" w:lineRule="exact"/>
              <w:rPr>
                <w:sz w:val="20"/>
                <w:szCs w:val="20"/>
                <w:color w:val="auto"/>
              </w:rPr>
            </w:pPr>
            <w:r>
              <w:rPr>
                <w:rFonts w:ascii="Arial" w:cs="Arial" w:eastAsia="Arial" w:hAnsi="Arial"/>
                <w:sz w:val="16"/>
                <w:szCs w:val="16"/>
                <w:color w:val="auto"/>
              </w:rPr>
              <w:t>USGC Storage Growth</w:t>
            </w: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00" w:type="dxa"/>
            <w:vAlign w:val="bottom"/>
          </w:tcPr>
          <w:p>
            <w:pPr>
              <w:jc w:val="right"/>
              <w:spacing w:after="0" w:line="175" w:lineRule="exact"/>
              <w:rPr>
                <w:sz w:val="20"/>
                <w:szCs w:val="20"/>
                <w:color w:val="auto"/>
              </w:rPr>
            </w:pPr>
            <w:r>
              <w:rPr>
                <w:rFonts w:ascii="Arial" w:cs="Arial" w:eastAsia="Arial" w:hAnsi="Arial"/>
                <w:sz w:val="16"/>
                <w:szCs w:val="16"/>
                <w:color w:val="auto"/>
              </w:rPr>
              <w:t>expenditures to</w:t>
            </w:r>
          </w:p>
        </w:tc>
        <w:tc>
          <w:tcPr>
            <w:tcW w:w="1740" w:type="dxa"/>
            <w:vAlign w:val="bottom"/>
          </w:tcPr>
          <w:p>
            <w:pPr>
              <w:jc w:val="right"/>
              <w:ind w:right="239"/>
              <w:spacing w:after="0" w:line="175" w:lineRule="exact"/>
              <w:rPr>
                <w:sz w:val="20"/>
                <w:szCs w:val="20"/>
                <w:color w:val="auto"/>
              </w:rPr>
            </w:pPr>
            <w:r>
              <w:rPr>
                <w:rFonts w:ascii="Arial" w:cs="Arial" w:eastAsia="Arial" w:hAnsi="Arial"/>
                <w:sz w:val="16"/>
                <w:szCs w:val="16"/>
                <w:color w:val="auto"/>
              </w:rPr>
              <w:t>Pre-</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12.</w:t>
            </w:r>
          </w:p>
        </w:tc>
        <w:tc>
          <w:tcPr>
            <w:tcW w:w="29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Program</w:t>
            </w:r>
          </w:p>
        </w:tc>
        <w:tc>
          <w:tcPr>
            <w:tcW w:w="17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100%</w:t>
            </w: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US$0.8 billion</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date</w:t>
            </w: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construction</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2028 - 2033</w:t>
            </w:r>
          </w:p>
        </w:tc>
        <w:tc>
          <w:tcPr>
            <w:tcW w:w="0" w:type="dxa"/>
            <w:vAlign w:val="bottom"/>
          </w:tcPr>
          <w:p>
            <w:pPr>
              <w:spacing w:after="0"/>
              <w:rPr>
                <w:sz w:val="1"/>
                <w:szCs w:val="1"/>
                <w:color w:val="auto"/>
              </w:rPr>
            </w:pPr>
          </w:p>
        </w:tc>
      </w:tr>
      <w:tr>
        <w:trPr>
          <w:trHeight w:val="169"/>
        </w:trPr>
        <w:tc>
          <w:tcPr>
            <w:tcW w:w="332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rPr>
              <w:t>GAS DISTRIBUTION AND STORAGE</w:t>
            </w:r>
          </w:p>
        </w:tc>
        <w:tc>
          <w:tcPr>
            <w:tcW w:w="17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color w:val="auto"/>
              </w:rPr>
              <w:t>13.</w:t>
            </w:r>
          </w:p>
        </w:tc>
        <w:tc>
          <w:tcPr>
            <w:tcW w:w="2940" w:type="dxa"/>
            <w:vAlign w:val="bottom"/>
            <w:tcBorders>
              <w:bottom w:val="single" w:sz="8" w:color="auto"/>
            </w:tcBorders>
          </w:tcPr>
          <w:p>
            <w:pPr>
              <w:ind w:left="160"/>
              <w:spacing w:after="0" w:line="169" w:lineRule="exact"/>
              <w:rPr>
                <w:sz w:val="20"/>
                <w:szCs w:val="20"/>
                <w:color w:val="auto"/>
              </w:rPr>
            </w:pPr>
            <w:r>
              <w:rPr>
                <w:rFonts w:ascii="Arial" w:cs="Arial" w:eastAsia="Arial" w:hAnsi="Arial"/>
                <w:sz w:val="16"/>
                <w:szCs w:val="16"/>
                <w:color w:val="auto"/>
              </w:rPr>
              <w:t>Moriah Energy Center</w:t>
            </w:r>
            <w:r>
              <w:rPr>
                <w:rFonts w:ascii="Arial" w:cs="Arial" w:eastAsia="Arial" w:hAnsi="Arial"/>
                <w:sz w:val="18"/>
                <w:szCs w:val="18"/>
                <w:color w:val="auto"/>
                <w:vertAlign w:val="superscript"/>
              </w:rPr>
              <w:t>6</w:t>
            </w:r>
          </w:p>
        </w:tc>
        <w:tc>
          <w:tcPr>
            <w:tcW w:w="1700" w:type="dxa"/>
            <w:vAlign w:val="bottom"/>
            <w:tcBorders>
              <w:bottom w:val="single" w:sz="8" w:color="auto"/>
            </w:tcBorders>
          </w:tcPr>
          <w:p>
            <w:pPr>
              <w:jc w:val="right"/>
              <w:ind w:right="319"/>
              <w:spacing w:after="0" w:line="169" w:lineRule="exact"/>
              <w:rPr>
                <w:sz w:val="20"/>
                <w:szCs w:val="20"/>
                <w:color w:val="auto"/>
              </w:rPr>
            </w:pPr>
            <w:r>
              <w:rPr>
                <w:rFonts w:ascii="Arial" w:cs="Arial" w:eastAsia="Arial" w:hAnsi="Arial"/>
                <w:sz w:val="16"/>
                <w:szCs w:val="16"/>
                <w:color w:val="auto"/>
              </w:rPr>
              <w:t>100%</w:t>
            </w:r>
          </w:p>
        </w:tc>
        <w:tc>
          <w:tcPr>
            <w:tcW w:w="170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US$0.6 billion</w:t>
            </w: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US$387 million</w:t>
            </w:r>
          </w:p>
        </w:tc>
        <w:tc>
          <w:tcPr>
            <w:tcW w:w="174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Under construction</w:t>
            </w:r>
          </w:p>
        </w:tc>
        <w:tc>
          <w:tcPr>
            <w:tcW w:w="128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2027</w:t>
            </w:r>
          </w:p>
        </w:tc>
        <w:tc>
          <w:tcPr>
            <w:tcW w:w="0" w:type="dxa"/>
            <w:vAlign w:val="bottom"/>
          </w:tcPr>
          <w:p>
            <w:pPr>
              <w:spacing w:after="0"/>
              <w:rPr>
                <w:sz w:val="1"/>
                <w:szCs w:val="1"/>
                <w:color w:val="auto"/>
              </w:rPr>
            </w:pPr>
          </w:p>
        </w:tc>
      </w:tr>
      <w:tr>
        <w:trPr>
          <w:trHeight w:val="169"/>
        </w:trPr>
        <w:tc>
          <w:tcPr>
            <w:tcW w:w="38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color w:val="auto"/>
              </w:rPr>
              <w:t>14.</w:t>
            </w:r>
          </w:p>
        </w:tc>
        <w:tc>
          <w:tcPr>
            <w:tcW w:w="2940" w:type="dxa"/>
            <w:vAlign w:val="bottom"/>
            <w:tcBorders>
              <w:bottom w:val="single" w:sz="8" w:color="auto"/>
            </w:tcBorders>
          </w:tcPr>
          <w:p>
            <w:pPr>
              <w:ind w:left="160"/>
              <w:spacing w:after="0" w:line="169" w:lineRule="exact"/>
              <w:rPr>
                <w:sz w:val="20"/>
                <w:szCs w:val="20"/>
                <w:color w:val="auto"/>
              </w:rPr>
            </w:pPr>
            <w:r>
              <w:rPr>
                <w:rFonts w:ascii="Arial" w:cs="Arial" w:eastAsia="Arial" w:hAnsi="Arial"/>
                <w:sz w:val="16"/>
                <w:szCs w:val="16"/>
                <w:color w:val="auto"/>
              </w:rPr>
              <w:t>T-15 Reliability Project</w:t>
            </w:r>
            <w:r>
              <w:rPr>
                <w:rFonts w:ascii="Arial" w:cs="Arial" w:eastAsia="Arial" w:hAnsi="Arial"/>
                <w:sz w:val="18"/>
                <w:szCs w:val="18"/>
                <w:color w:val="auto"/>
                <w:vertAlign w:val="superscript"/>
              </w:rPr>
              <w:t>6,7</w:t>
            </w:r>
          </w:p>
        </w:tc>
        <w:tc>
          <w:tcPr>
            <w:tcW w:w="1700" w:type="dxa"/>
            <w:vAlign w:val="bottom"/>
            <w:tcBorders>
              <w:bottom w:val="single" w:sz="8" w:color="auto"/>
            </w:tcBorders>
          </w:tcPr>
          <w:p>
            <w:pPr>
              <w:jc w:val="right"/>
              <w:ind w:right="319"/>
              <w:spacing w:after="0" w:line="169" w:lineRule="exact"/>
              <w:rPr>
                <w:sz w:val="20"/>
                <w:szCs w:val="20"/>
                <w:color w:val="auto"/>
              </w:rPr>
            </w:pPr>
            <w:r>
              <w:rPr>
                <w:rFonts w:ascii="Arial" w:cs="Arial" w:eastAsia="Arial" w:hAnsi="Arial"/>
                <w:sz w:val="16"/>
                <w:szCs w:val="16"/>
                <w:color w:val="auto"/>
              </w:rPr>
              <w:t>100%</w:t>
            </w:r>
          </w:p>
        </w:tc>
        <w:tc>
          <w:tcPr>
            <w:tcW w:w="170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US$0.7 billion</w:t>
            </w: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US$144 million</w:t>
            </w:r>
          </w:p>
        </w:tc>
        <w:tc>
          <w:tcPr>
            <w:tcW w:w="174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Pre-construction</w:t>
            </w:r>
          </w:p>
        </w:tc>
        <w:tc>
          <w:tcPr>
            <w:tcW w:w="128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2027 - 2028</w:t>
            </w:r>
          </w:p>
        </w:tc>
        <w:tc>
          <w:tcPr>
            <w:tcW w:w="0" w:type="dxa"/>
            <w:vAlign w:val="bottom"/>
          </w:tcPr>
          <w:p>
            <w:pPr>
              <w:spacing w:after="0"/>
              <w:rPr>
                <w:sz w:val="1"/>
                <w:szCs w:val="1"/>
                <w:color w:val="auto"/>
              </w:rPr>
            </w:pPr>
          </w:p>
        </w:tc>
      </w:tr>
      <w:tr>
        <w:trPr>
          <w:trHeight w:val="169"/>
        </w:trPr>
        <w:tc>
          <w:tcPr>
            <w:tcW w:w="332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6"/>
                <w:szCs w:val="16"/>
                <w:b w:val="1"/>
                <w:bCs w:val="1"/>
                <w:color w:val="auto"/>
              </w:rPr>
              <w:t>RENEWABLE POWER GENERATION</w:t>
            </w:r>
          </w:p>
        </w:tc>
        <w:tc>
          <w:tcPr>
            <w:tcW w:w="17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color w:val="auto"/>
              </w:rPr>
              <w:t>15.</w:t>
            </w:r>
          </w:p>
        </w:tc>
        <w:tc>
          <w:tcPr>
            <w:tcW w:w="2940" w:type="dxa"/>
            <w:vAlign w:val="bottom"/>
            <w:tcBorders>
              <w:bottom w:val="single" w:sz="8" w:color="auto"/>
            </w:tcBorders>
          </w:tcPr>
          <w:p>
            <w:pPr>
              <w:ind w:left="160"/>
              <w:spacing w:after="0" w:line="169" w:lineRule="exact"/>
              <w:rPr>
                <w:sz w:val="20"/>
                <w:szCs w:val="20"/>
                <w:color w:val="auto"/>
              </w:rPr>
            </w:pPr>
            <w:r>
              <w:rPr>
                <w:rFonts w:ascii="Arial" w:cs="Arial" w:eastAsia="Arial" w:hAnsi="Arial"/>
                <w:sz w:val="16"/>
                <w:szCs w:val="16"/>
                <w:color w:val="auto"/>
              </w:rPr>
              <w:t>Sequoia Solar</w:t>
            </w:r>
          </w:p>
        </w:tc>
        <w:tc>
          <w:tcPr>
            <w:tcW w:w="1700" w:type="dxa"/>
            <w:vAlign w:val="bottom"/>
            <w:tcBorders>
              <w:bottom w:val="single" w:sz="8" w:color="auto"/>
            </w:tcBorders>
          </w:tcPr>
          <w:p>
            <w:pPr>
              <w:jc w:val="right"/>
              <w:ind w:right="319"/>
              <w:spacing w:after="0" w:line="169" w:lineRule="exact"/>
              <w:rPr>
                <w:sz w:val="20"/>
                <w:szCs w:val="20"/>
                <w:color w:val="auto"/>
              </w:rPr>
            </w:pPr>
            <w:r>
              <w:rPr>
                <w:rFonts w:ascii="Arial" w:cs="Arial" w:eastAsia="Arial" w:hAnsi="Arial"/>
                <w:sz w:val="16"/>
                <w:szCs w:val="16"/>
                <w:color w:val="auto"/>
              </w:rPr>
              <w:t>100%</w:t>
            </w:r>
          </w:p>
        </w:tc>
        <w:tc>
          <w:tcPr>
            <w:tcW w:w="170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US$1.1 billion</w:t>
            </w: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US$919 million</w:t>
            </w:r>
          </w:p>
        </w:tc>
        <w:tc>
          <w:tcPr>
            <w:tcW w:w="174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Various stages</w:t>
            </w:r>
          </w:p>
        </w:tc>
        <w:tc>
          <w:tcPr>
            <w:tcW w:w="128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169"/>
        </w:trPr>
        <w:tc>
          <w:tcPr>
            <w:tcW w:w="38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color w:val="auto"/>
              </w:rPr>
              <w:t>16.</w:t>
            </w:r>
          </w:p>
        </w:tc>
        <w:tc>
          <w:tcPr>
            <w:tcW w:w="2940" w:type="dxa"/>
            <w:vAlign w:val="bottom"/>
            <w:tcBorders>
              <w:bottom w:val="single" w:sz="8" w:color="auto"/>
            </w:tcBorders>
          </w:tcPr>
          <w:p>
            <w:pPr>
              <w:ind w:left="160"/>
              <w:spacing w:after="0" w:line="169" w:lineRule="exact"/>
              <w:rPr>
                <w:sz w:val="20"/>
                <w:szCs w:val="20"/>
                <w:color w:val="auto"/>
              </w:rPr>
            </w:pPr>
            <w:r>
              <w:rPr>
                <w:rFonts w:ascii="Arial" w:cs="Arial" w:eastAsia="Arial" w:hAnsi="Arial"/>
                <w:sz w:val="16"/>
                <w:szCs w:val="16"/>
                <w:color w:val="auto"/>
              </w:rPr>
              <w:t>Clear Fork Solar</w:t>
            </w:r>
          </w:p>
        </w:tc>
        <w:tc>
          <w:tcPr>
            <w:tcW w:w="1700" w:type="dxa"/>
            <w:vAlign w:val="bottom"/>
            <w:tcBorders>
              <w:bottom w:val="single" w:sz="8" w:color="auto"/>
            </w:tcBorders>
          </w:tcPr>
          <w:p>
            <w:pPr>
              <w:jc w:val="right"/>
              <w:ind w:right="319"/>
              <w:spacing w:after="0" w:line="169" w:lineRule="exact"/>
              <w:rPr>
                <w:sz w:val="20"/>
                <w:szCs w:val="20"/>
                <w:color w:val="auto"/>
              </w:rPr>
            </w:pPr>
            <w:r>
              <w:rPr>
                <w:rFonts w:ascii="Arial" w:cs="Arial" w:eastAsia="Arial" w:hAnsi="Arial"/>
                <w:sz w:val="16"/>
                <w:szCs w:val="16"/>
                <w:color w:val="auto"/>
              </w:rPr>
              <w:t>100%</w:t>
            </w:r>
          </w:p>
        </w:tc>
        <w:tc>
          <w:tcPr>
            <w:tcW w:w="170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US$0.9 billion</w:t>
            </w: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US$323 million</w:t>
            </w:r>
          </w:p>
        </w:tc>
        <w:tc>
          <w:tcPr>
            <w:tcW w:w="174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Under construction</w:t>
            </w:r>
          </w:p>
        </w:tc>
        <w:tc>
          <w:tcPr>
            <w:tcW w:w="128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2027</w:t>
            </w:r>
          </w:p>
        </w:tc>
        <w:tc>
          <w:tcPr>
            <w:tcW w:w="0" w:type="dxa"/>
            <w:vAlign w:val="bottom"/>
          </w:tcPr>
          <w:p>
            <w:pPr>
              <w:spacing w:after="0"/>
              <w:rPr>
                <w:sz w:val="1"/>
                <w:szCs w:val="1"/>
                <w:color w:val="auto"/>
              </w:rPr>
            </w:pPr>
          </w:p>
        </w:tc>
      </w:tr>
      <w:tr>
        <w:trPr>
          <w:trHeight w:val="169"/>
        </w:trPr>
        <w:tc>
          <w:tcPr>
            <w:tcW w:w="38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color w:val="auto"/>
              </w:rPr>
              <w:t>17.</w:t>
            </w:r>
          </w:p>
        </w:tc>
        <w:tc>
          <w:tcPr>
            <w:tcW w:w="2940" w:type="dxa"/>
            <w:vAlign w:val="bottom"/>
            <w:tcBorders>
              <w:bottom w:val="single" w:sz="8" w:color="auto"/>
            </w:tcBorders>
          </w:tcPr>
          <w:p>
            <w:pPr>
              <w:ind w:left="160"/>
              <w:spacing w:after="0" w:line="169" w:lineRule="exact"/>
              <w:rPr>
                <w:sz w:val="20"/>
                <w:szCs w:val="20"/>
                <w:color w:val="auto"/>
              </w:rPr>
            </w:pPr>
            <w:r>
              <w:rPr>
                <w:rFonts w:ascii="Arial" w:cs="Arial" w:eastAsia="Arial" w:hAnsi="Arial"/>
                <w:sz w:val="16"/>
                <w:szCs w:val="16"/>
                <w:color w:val="auto"/>
              </w:rPr>
              <w:t>Easter</w:t>
            </w:r>
          </w:p>
        </w:tc>
        <w:tc>
          <w:tcPr>
            <w:tcW w:w="1700" w:type="dxa"/>
            <w:vAlign w:val="bottom"/>
            <w:tcBorders>
              <w:bottom w:val="single" w:sz="8" w:color="auto"/>
            </w:tcBorders>
          </w:tcPr>
          <w:p>
            <w:pPr>
              <w:jc w:val="right"/>
              <w:ind w:right="319"/>
              <w:spacing w:after="0" w:line="169" w:lineRule="exact"/>
              <w:rPr>
                <w:sz w:val="20"/>
                <w:szCs w:val="20"/>
                <w:color w:val="auto"/>
              </w:rPr>
            </w:pPr>
            <w:r>
              <w:rPr>
                <w:rFonts w:ascii="Arial" w:cs="Arial" w:eastAsia="Arial" w:hAnsi="Arial"/>
                <w:sz w:val="16"/>
                <w:szCs w:val="16"/>
                <w:color w:val="auto"/>
              </w:rPr>
              <w:t>100%</w:t>
            </w:r>
          </w:p>
        </w:tc>
        <w:tc>
          <w:tcPr>
            <w:tcW w:w="170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US$0.4 billion</w:t>
            </w: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US$139 million</w:t>
            </w:r>
          </w:p>
        </w:tc>
        <w:tc>
          <w:tcPr>
            <w:tcW w:w="174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Under construction</w:t>
            </w:r>
          </w:p>
        </w:tc>
        <w:tc>
          <w:tcPr>
            <w:tcW w:w="128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2026 - 2027</w:t>
            </w:r>
          </w:p>
        </w:tc>
        <w:tc>
          <w:tcPr>
            <w:tcW w:w="0" w:type="dxa"/>
            <w:vAlign w:val="bottom"/>
          </w:tcPr>
          <w:p>
            <w:pPr>
              <w:spacing w:after="0"/>
              <w:rPr>
                <w:sz w:val="1"/>
                <w:szCs w:val="1"/>
                <w:color w:val="auto"/>
              </w:rPr>
            </w:pPr>
          </w:p>
        </w:tc>
      </w:tr>
      <w:tr>
        <w:trPr>
          <w:trHeight w:val="141"/>
        </w:trPr>
        <w:tc>
          <w:tcPr>
            <w:tcW w:w="3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40" w:type="dxa"/>
            <w:vAlign w:val="bottom"/>
          </w:tcPr>
          <w:p>
            <w:pPr>
              <w:jc w:val="right"/>
              <w:ind w:right="239"/>
              <w:spacing w:after="0" w:line="142" w:lineRule="exact"/>
              <w:rPr>
                <w:sz w:val="20"/>
                <w:szCs w:val="20"/>
                <w:color w:val="auto"/>
              </w:rPr>
            </w:pPr>
            <w:r>
              <w:rPr>
                <w:rFonts w:ascii="Arial" w:cs="Arial" w:eastAsia="Arial" w:hAnsi="Arial"/>
                <w:sz w:val="16"/>
                <w:szCs w:val="16"/>
                <w:color w:val="auto"/>
              </w:rPr>
              <w:t>Pre-</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18.</w:t>
            </w:r>
          </w:p>
        </w:tc>
        <w:tc>
          <w:tcPr>
            <w:tcW w:w="29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Cowboy Phase 1</w:t>
            </w:r>
          </w:p>
        </w:tc>
        <w:tc>
          <w:tcPr>
            <w:tcW w:w="17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100%</w:t>
            </w: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US$1.2 billion</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US$36 million</w:t>
            </w: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construction</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2027</w:t>
            </w:r>
          </w:p>
        </w:tc>
        <w:tc>
          <w:tcPr>
            <w:tcW w:w="0" w:type="dxa"/>
            <w:vAlign w:val="bottom"/>
          </w:tcPr>
          <w:p>
            <w:pPr>
              <w:spacing w:after="0"/>
              <w:rPr>
                <w:sz w:val="1"/>
                <w:szCs w:val="1"/>
                <w:color w:val="auto"/>
              </w:rPr>
            </w:pPr>
          </w:p>
        </w:tc>
      </w:tr>
      <w:tr>
        <w:trPr>
          <w:trHeight w:val="141"/>
        </w:trPr>
        <w:tc>
          <w:tcPr>
            <w:tcW w:w="3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jc w:val="right"/>
              <w:spacing w:after="0" w:line="142" w:lineRule="exact"/>
              <w:rPr>
                <w:sz w:val="20"/>
                <w:szCs w:val="20"/>
                <w:color w:val="auto"/>
              </w:rPr>
            </w:pPr>
            <w:r>
              <w:rPr>
                <w:rFonts w:ascii="Arial" w:cs="Arial" w:eastAsia="Arial" w:hAnsi="Arial"/>
                <w:sz w:val="16"/>
                <w:szCs w:val="16"/>
                <w:color w:val="auto"/>
              </w:rPr>
              <w:t>No significant</w:t>
            </w:r>
          </w:p>
        </w:tc>
        <w:tc>
          <w:tcPr>
            <w:tcW w:w="1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00" w:type="dxa"/>
            <w:vAlign w:val="bottom"/>
          </w:tcPr>
          <w:p>
            <w:pPr>
              <w:jc w:val="right"/>
              <w:spacing w:after="0" w:line="175" w:lineRule="exact"/>
              <w:rPr>
                <w:sz w:val="20"/>
                <w:szCs w:val="20"/>
                <w:color w:val="auto"/>
              </w:rPr>
            </w:pPr>
            <w:r>
              <w:rPr>
                <w:rFonts w:ascii="Arial" w:cs="Arial" w:eastAsia="Arial" w:hAnsi="Arial"/>
                <w:sz w:val="16"/>
                <w:szCs w:val="16"/>
                <w:color w:val="auto"/>
              </w:rPr>
              <w:t>expenditures to</w:t>
            </w:r>
          </w:p>
        </w:tc>
        <w:tc>
          <w:tcPr>
            <w:tcW w:w="1740" w:type="dxa"/>
            <w:vAlign w:val="bottom"/>
          </w:tcPr>
          <w:p>
            <w:pPr>
              <w:jc w:val="right"/>
              <w:ind w:right="239"/>
              <w:spacing w:after="0" w:line="175" w:lineRule="exact"/>
              <w:rPr>
                <w:sz w:val="20"/>
                <w:szCs w:val="20"/>
                <w:color w:val="auto"/>
              </w:rPr>
            </w:pPr>
            <w:r>
              <w:rPr>
                <w:rFonts w:ascii="Arial" w:cs="Arial" w:eastAsia="Arial" w:hAnsi="Arial"/>
                <w:sz w:val="16"/>
                <w:szCs w:val="16"/>
                <w:color w:val="auto"/>
              </w:rPr>
              <w:t>Pre-</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19.</w:t>
            </w:r>
          </w:p>
        </w:tc>
        <w:tc>
          <w:tcPr>
            <w:tcW w:w="29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Cone</w:t>
            </w:r>
          </w:p>
        </w:tc>
        <w:tc>
          <w:tcPr>
            <w:tcW w:w="17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100%</w:t>
            </w: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US$0.7 billion</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date</w:t>
            </w: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construction</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2027</w:t>
            </w:r>
          </w:p>
        </w:tc>
        <w:tc>
          <w:tcPr>
            <w:tcW w:w="0" w:type="dxa"/>
            <w:vAlign w:val="bottom"/>
          </w:tcPr>
          <w:p>
            <w:pPr>
              <w:spacing w:after="0"/>
              <w:rPr>
                <w:sz w:val="1"/>
                <w:szCs w:val="1"/>
                <w:color w:val="auto"/>
              </w:rPr>
            </w:pPr>
          </w:p>
        </w:tc>
      </w:tr>
      <w:tr>
        <w:trPr>
          <w:trHeight w:val="141"/>
        </w:trPr>
        <w:tc>
          <w:tcPr>
            <w:tcW w:w="380" w:type="dxa"/>
            <w:vAlign w:val="bottom"/>
          </w:tcPr>
          <w:p>
            <w:pPr>
              <w:spacing w:after="0"/>
              <w:rPr>
                <w:sz w:val="12"/>
                <w:szCs w:val="12"/>
                <w:color w:val="auto"/>
              </w:rPr>
            </w:pPr>
          </w:p>
        </w:tc>
        <w:tc>
          <w:tcPr>
            <w:tcW w:w="2940" w:type="dxa"/>
            <w:vAlign w:val="bottom"/>
          </w:tcPr>
          <w:p>
            <w:pPr>
              <w:ind w:left="160"/>
              <w:spacing w:after="0" w:line="142" w:lineRule="exact"/>
              <w:rPr>
                <w:sz w:val="20"/>
                <w:szCs w:val="20"/>
                <w:color w:val="auto"/>
              </w:rPr>
            </w:pPr>
            <w:r>
              <w:rPr>
                <w:rFonts w:ascii="Arial" w:cs="Arial" w:eastAsia="Arial" w:hAnsi="Arial"/>
                <w:sz w:val="16"/>
                <w:szCs w:val="16"/>
                <w:color w:val="auto"/>
              </w:rPr>
              <w:t>Courseulles</w:t>
            </w:r>
          </w:p>
        </w:tc>
        <w:tc>
          <w:tcPr>
            <w:tcW w:w="1700" w:type="dxa"/>
            <w:vAlign w:val="bottom"/>
          </w:tcPr>
          <w:p>
            <w:pPr>
              <w:spacing w:after="0"/>
              <w:rPr>
                <w:sz w:val="12"/>
                <w:szCs w:val="12"/>
                <w:color w:val="auto"/>
              </w:rPr>
            </w:pPr>
          </w:p>
        </w:tc>
        <w:tc>
          <w:tcPr>
            <w:tcW w:w="1700" w:type="dxa"/>
            <w:vAlign w:val="bottom"/>
          </w:tcPr>
          <w:p>
            <w:pPr>
              <w:jc w:val="right"/>
              <w:ind w:right="239"/>
              <w:spacing w:after="0" w:line="142" w:lineRule="exact"/>
              <w:rPr>
                <w:sz w:val="20"/>
                <w:szCs w:val="20"/>
                <w:color w:val="auto"/>
              </w:rPr>
            </w:pPr>
            <w:r>
              <w:rPr>
                <w:rFonts w:ascii="Arial" w:cs="Arial" w:eastAsia="Arial" w:hAnsi="Arial"/>
                <w:sz w:val="16"/>
                <w:szCs w:val="16"/>
                <w:color w:val="auto"/>
              </w:rPr>
              <w:t>$1.0 billion</w:t>
            </w:r>
          </w:p>
        </w:tc>
        <w:tc>
          <w:tcPr>
            <w:tcW w:w="1500" w:type="dxa"/>
            <w:vAlign w:val="bottom"/>
          </w:tcPr>
          <w:p>
            <w:pPr>
              <w:jc w:val="right"/>
              <w:spacing w:after="0" w:line="142" w:lineRule="exact"/>
              <w:rPr>
                <w:sz w:val="20"/>
                <w:szCs w:val="20"/>
                <w:color w:val="auto"/>
              </w:rPr>
            </w:pPr>
            <w:r>
              <w:rPr>
                <w:rFonts w:ascii="Arial" w:cs="Arial" w:eastAsia="Arial" w:hAnsi="Arial"/>
                <w:sz w:val="16"/>
                <w:szCs w:val="16"/>
                <w:color w:val="auto"/>
              </w:rPr>
              <w:t>$460 million</w:t>
            </w:r>
          </w:p>
        </w:tc>
        <w:tc>
          <w:tcPr>
            <w:tcW w:w="1740" w:type="dxa"/>
            <w:vAlign w:val="bottom"/>
          </w:tcPr>
          <w:p>
            <w:pPr>
              <w:jc w:val="right"/>
              <w:ind w:right="239"/>
              <w:spacing w:after="0" w:line="142" w:lineRule="exact"/>
              <w:rPr>
                <w:sz w:val="20"/>
                <w:szCs w:val="20"/>
                <w:color w:val="auto"/>
              </w:rPr>
            </w:pPr>
            <w:r>
              <w:rPr>
                <w:rFonts w:ascii="Arial" w:cs="Arial" w:eastAsia="Arial" w:hAnsi="Arial"/>
                <w:sz w:val="16"/>
                <w:szCs w:val="16"/>
                <w:color w:val="auto"/>
              </w:rPr>
              <w:t>Under</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w:t>
            </w:r>
          </w:p>
        </w:tc>
        <w:tc>
          <w:tcPr>
            <w:tcW w:w="2940" w:type="dxa"/>
            <w:vAlign w:val="bottom"/>
            <w:tcBorders>
              <w:bottom w:val="single" w:sz="8" w:color="auto"/>
            </w:tcBorders>
          </w:tcPr>
          <w:p>
            <w:pPr>
              <w:ind w:left="280"/>
              <w:spacing w:after="0" w:line="203" w:lineRule="exact"/>
              <w:rPr>
                <w:sz w:val="20"/>
                <w:szCs w:val="20"/>
                <w:color w:val="auto"/>
              </w:rPr>
            </w:pPr>
            <w:r>
              <w:rPr>
                <w:rFonts w:ascii="Arial" w:cs="Arial" w:eastAsia="Arial" w:hAnsi="Arial"/>
                <w:sz w:val="16"/>
                <w:szCs w:val="16"/>
                <w:color w:val="auto"/>
              </w:rPr>
              <w:t>Offshore Wind</w:t>
            </w:r>
            <w:r>
              <w:rPr>
                <w:rFonts w:ascii="Arial" w:cs="Arial" w:eastAsia="Arial" w:hAnsi="Arial"/>
                <w:sz w:val="18"/>
                <w:szCs w:val="18"/>
                <w:color w:val="auto"/>
                <w:vertAlign w:val="superscript"/>
              </w:rPr>
              <w:t>8</w:t>
            </w:r>
          </w:p>
        </w:tc>
        <w:tc>
          <w:tcPr>
            <w:tcW w:w="17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21.7%</w:t>
            </w: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(€0.6 billion)</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 million)</w:t>
            </w: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construction</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35" w:name="page36"/>
    <w:bookmarkEnd w:id="35"/>
    <w:p>
      <w:pPr>
        <w:ind w:left="180" w:right="40" w:hanging="172"/>
        <w:spacing w:after="0" w:line="260" w:lineRule="auto"/>
        <w:tabs>
          <w:tab w:leader="none" w:pos="18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are estimates and are subject to upward or downward adjustment based on various factors. Where appropriate, the amounts reflect our share of joint venture projects.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  Expenditures to date and status of the project are determined as at March 31, 2026.</w:t>
      </w:r>
    </w:p>
    <w:p>
      <w:pPr>
        <w:spacing w:after="0" w:line="1" w:lineRule="exact"/>
        <w:rPr>
          <w:sz w:val="20"/>
          <w:szCs w:val="20"/>
          <w:color w:val="auto"/>
        </w:rPr>
      </w:pPr>
    </w:p>
    <w:p>
      <w:pPr>
        <w:ind w:left="180" w:right="400" w:hanging="172"/>
        <w:spacing w:after="0" w:line="241" w:lineRule="auto"/>
        <w:tabs>
          <w:tab w:leader="none" w:pos="18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amounts for the construction of the Southern Illinois Connector Pipeline, which is expected to be 50% jointly-owned with Energy Transfer, costs to upgrade the Energy Transfer Crude Oil Pipeline, in which we have a 27.6% ownership interest, as well as amounts fully attributable to Enbridge.</w:t>
      </w:r>
    </w:p>
    <w:p>
      <w:pPr>
        <w:spacing w:after="0" w:line="1" w:lineRule="exact"/>
        <w:rPr>
          <w:sz w:val="20"/>
          <w:szCs w:val="20"/>
          <w:color w:val="auto"/>
        </w:rPr>
      </w:pPr>
    </w:p>
    <w:p>
      <w:pPr>
        <w:ind w:left="180" w:hanging="179"/>
        <w:spacing w:after="0" w:line="251" w:lineRule="auto"/>
        <w:tabs>
          <w:tab w:leader="none" w:pos="160" w:val="left"/>
        </w:tabs>
        <w:rPr>
          <w:sz w:val="20"/>
          <w:szCs w:val="20"/>
          <w:color w:val="auto"/>
        </w:rPr>
      </w:pPr>
      <w:r>
        <w:rPr>
          <w:rFonts w:ascii="Arial" w:cs="Arial" w:eastAsia="Arial" w:hAnsi="Arial"/>
          <w:sz w:val="14"/>
          <w:szCs w:val="14"/>
          <w:i w:val="1"/>
          <w:iCs w:val="1"/>
          <w:color w:val="auto"/>
        </w:rPr>
        <w:t>4</w:t>
        <w:tab/>
        <w:t>Our redeemable noncontrolling interest holder, Stonlasec8 Indigenous Investments Limited Partnership, will have the opportunity to participate in designated capital programs once they have been completed or substantially completed. As a result, our ownership interest in the program(s) may change in future periods.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5  Our expected investment is approximately US$2.3 billion, with the remainder financed through non-recourse project level debt.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6  Previously approved projects that were acquired by Enbridge through the acquisition of Public Service Company of North Carolina, Incorporated.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7  Includes approved capital costs for the second phase of the project which involves installation of additional compression to add capacity and is expected to go into service in</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2028.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8  Our investment is approximately $0.3 billion, with the remainder financed through non-recourse project level debt.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 full description of each of our material projects is provided in our annual report on Form 10-K for the year ended December 31, 2025.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Material updates that have occurred since the date of filing of our Form 10-K are discussed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 TRANSMISSION</w:t>
      </w:r>
    </w:p>
    <w:p>
      <w:pPr>
        <w:spacing w:after="0" w:line="212" w:lineRule="exact"/>
        <w:rPr>
          <w:sz w:val="20"/>
          <w:szCs w:val="20"/>
          <w:color w:val="auto"/>
        </w:rPr>
      </w:pPr>
    </w:p>
    <w:p>
      <w:pPr>
        <w:ind w:left="380" w:right="280" w:hanging="178"/>
        <w:spacing w:after="0" w:line="260" w:lineRule="auto"/>
        <w:tabs>
          <w:tab w:leader="none" w:pos="38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T-South Expansion (Sunrise) - </w:t>
      </w:r>
      <w:r>
        <w:rPr>
          <w:rFonts w:ascii="Arial" w:cs="Arial" w:eastAsia="Arial" w:hAnsi="Arial"/>
          <w:sz w:val="18"/>
          <w:szCs w:val="18"/>
          <w:color w:val="auto"/>
        </w:rPr>
        <w:t>In April 2026, the project received a positive decision from the Government of Canada’s Governor in</w:t>
      </w:r>
      <w:r>
        <w:rPr>
          <w:rFonts w:ascii="Arial" w:cs="Arial" w:eastAsia="Arial" w:hAnsi="Arial"/>
          <w:sz w:val="18"/>
          <w:szCs w:val="18"/>
          <w:b w:val="1"/>
          <w:bCs w:val="1"/>
          <w:color w:val="auto"/>
        </w:rPr>
        <w:t xml:space="preserve"> </w:t>
      </w:r>
      <w:r>
        <w:rPr>
          <w:rFonts w:ascii="Arial" w:cs="Arial" w:eastAsia="Arial" w:hAnsi="Arial"/>
          <w:sz w:val="18"/>
          <w:szCs w:val="18"/>
          <w:color w:val="auto"/>
        </w:rPr>
        <w:t>Council and the CER issued a certificate for the project. Construction is expected to begin in the third quarter of 2026 following the satisfaction of pre-construction conditions.</w:t>
      </w:r>
    </w:p>
    <w:p>
      <w:pPr>
        <w:spacing w:after="0" w:line="149" w:lineRule="exact"/>
        <w:rPr>
          <w:rFonts w:ascii="Times New Roman" w:cs="Times New Roman" w:eastAsia="Times New Roman" w:hAnsi="Times New Roman"/>
          <w:sz w:val="18"/>
          <w:szCs w:val="18"/>
          <w:color w:val="auto"/>
        </w:rPr>
      </w:pPr>
    </w:p>
    <w:p>
      <w:pPr>
        <w:ind w:left="380" w:right="20" w:hanging="178"/>
        <w:spacing w:after="0" w:line="260" w:lineRule="auto"/>
        <w:tabs>
          <w:tab w:leader="none" w:pos="38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USGC Storage Growth Program - </w:t>
      </w:r>
      <w:r>
        <w:rPr>
          <w:rFonts w:ascii="Arial" w:cs="Arial" w:eastAsia="Arial" w:hAnsi="Arial"/>
          <w:sz w:val="18"/>
          <w:szCs w:val="18"/>
          <w:color w:val="auto"/>
        </w:rPr>
        <w:t>In addition to the expansions of our Egan Hub and Moss Bluff natural gas storage facilities in the US</w:t>
      </w:r>
      <w:r>
        <w:rPr>
          <w:rFonts w:ascii="Arial" w:cs="Arial" w:eastAsia="Arial" w:hAnsi="Arial"/>
          <w:sz w:val="18"/>
          <w:szCs w:val="18"/>
          <w:b w:val="1"/>
          <w:bCs w:val="1"/>
          <w:color w:val="auto"/>
        </w:rPr>
        <w:t xml:space="preserve"> </w:t>
      </w:r>
      <w:r>
        <w:rPr>
          <w:rFonts w:ascii="Arial" w:cs="Arial" w:eastAsia="Arial" w:hAnsi="Arial"/>
          <w:sz w:val="18"/>
          <w:szCs w:val="18"/>
          <w:color w:val="auto"/>
        </w:rPr>
        <w:t>Gulf Coast, we sanctioned a 25 billion cubic foot expansion of our Tres Palacios Gas Storage facility. The development includes three new caverns and ancillary support infrastructure and is expected to enter service ratably from 2028 to 2030.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RENEWABLE POWER GENERATION</w:t>
      </w:r>
    </w:p>
    <w:p>
      <w:pPr>
        <w:spacing w:after="0" w:line="212" w:lineRule="exact"/>
        <w:rPr>
          <w:sz w:val="20"/>
          <w:szCs w:val="20"/>
          <w:color w:val="auto"/>
        </w:rPr>
      </w:pPr>
    </w:p>
    <w:p>
      <w:pPr>
        <w:ind w:left="380" w:right="180" w:hanging="178"/>
        <w:spacing w:after="0" w:line="270" w:lineRule="auto"/>
        <w:tabs>
          <w:tab w:leader="none" w:pos="3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Cone - </w:t>
      </w:r>
      <w:r>
        <w:rPr>
          <w:rFonts w:ascii="Arial" w:cs="Arial" w:eastAsia="Arial" w:hAnsi="Arial"/>
          <w:sz w:val="18"/>
          <w:szCs w:val="18"/>
          <w:color w:val="auto"/>
        </w:rPr>
        <w:t>A 300-megawatt onshore wind project in the Southwest Power Pool market near Lubbock, Texas fully contracted under a long-term offtake agreement. This project will qualify for US tax credits and has an expected in-service date in 2027.</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36" w:name="page37"/>
    <w:bookmarkEnd w:id="36"/>
    <w:p>
      <w:pPr>
        <w:spacing w:after="0"/>
        <w:rPr>
          <w:sz w:val="20"/>
          <w:szCs w:val="20"/>
          <w:color w:val="auto"/>
        </w:rPr>
      </w:pPr>
      <w:r>
        <w:rPr>
          <w:rFonts w:ascii="Arial" w:cs="Arial" w:eastAsia="Arial" w:hAnsi="Arial"/>
          <w:sz w:val="23"/>
          <w:szCs w:val="23"/>
          <w:b w:val="1"/>
          <w:bCs w:val="1"/>
          <w:color w:val="auto"/>
        </w:rPr>
        <w:t>LIQUIDITY AND CAPITAL RESOURCES</w:t>
      </w:r>
    </w:p>
    <w:p>
      <w:pPr>
        <w:spacing w:after="0" w:line="22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maintenance of financial strength and flexibility is fundamental to our growth strategy, particularly in light of the significant number and size of capital projects currently secured or under development. Access to timely funding from capital markets could be limited by factors outside our control, including but not limited to, financial market volatility resulting from economic and political events both inside and outside North America. To mitigate such risks, we actively manage financial plans and strategies to help ensure we maintain sufficient liquidity to meet routine operating and future capital requirements.</w:t>
      </w:r>
    </w:p>
    <w:p>
      <w:pPr>
        <w:spacing w:after="0" w:line="177"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In the near term, we generally expect to utilize cash from operations together with commercial paper issuances and/or credit facility draws and the proceeds of capital market offerings to fund liabilities as they become due, finance capital expenditures and acquisitions and fund debt retirements. We target to maintain significant liquidity through securement of committed credit facilities with a diversified group of banks and financial institutions to enable us to fund all anticipated requirements through periods of extended market disruptions without accessing the capital markets.</w:t>
      </w:r>
    </w:p>
    <w:p>
      <w:pPr>
        <w:spacing w:after="0" w:line="17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have signed capital obligation contracts for the purchase of services, pipe and other materials totaling approximately $5.3 billion, which are expected to be paid over the next five years.</w:t>
      </w:r>
    </w:p>
    <w:p>
      <w:pPr>
        <w:spacing w:after="0" w:line="154"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Our financing plan is regularly updated to reflect evolving capital requirements and financial market conditions and identifies a variety of potential sources of debt and equity funding alternatives.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MARKET ACCESS</w:t>
      </w:r>
    </w:p>
    <w:p>
      <w:pPr>
        <w:spacing w:after="0" w:line="14"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We enable access to capital markets, subject to market conditions, through maintenance of shelf prospectuses in the US and Canada that allow for issuances of long-term debt, equity and other forms of long-term capital when market conditions are attractive.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 and Liquidity</w:t>
      </w:r>
    </w:p>
    <w:p>
      <w:pPr>
        <w:spacing w:after="0" w:line="14"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To ensure ongoing liquidity and to mitigate the risk of capital market disruption, we maintain access to funds through committed bank credit facilities and actively manage our bank funding sources to optimize pricing and other terms. The following table provides details of our committed credit facilities as at March 31, 2026:</w:t>
      </w: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980" w:type="dxa"/>
            <w:vAlign w:val="bottom"/>
            <w:vMerge w:val="restart"/>
          </w:tcPr>
          <w:p>
            <w:pPr>
              <w:jc w:val="right"/>
              <w:spacing w:after="0"/>
              <w:rPr>
                <w:sz w:val="20"/>
                <w:szCs w:val="20"/>
                <w:color w:val="auto"/>
              </w:rPr>
            </w:pPr>
            <w:r>
              <w:rPr>
                <w:rFonts w:ascii="Arial" w:cs="Arial" w:eastAsia="Arial" w:hAnsi="Arial"/>
                <w:sz w:val="18"/>
                <w:szCs w:val="18"/>
                <w:color w:val="auto"/>
              </w:rPr>
              <w:t>Maturity</w:t>
            </w:r>
            <w:r>
              <w:rPr>
                <w:rFonts w:ascii="Arial" w:cs="Arial" w:eastAsia="Arial" w:hAnsi="Arial"/>
                <w:sz w:val="9"/>
                <w:szCs w:val="9"/>
                <w:color w:val="auto"/>
              </w:rPr>
              <w:t>1</w:t>
            </w:r>
          </w:p>
        </w:tc>
        <w:tc>
          <w:tcPr>
            <w:tcW w:w="1120" w:type="dxa"/>
            <w:vAlign w:val="bottom"/>
          </w:tcPr>
          <w:p>
            <w:pPr>
              <w:jc w:val="right"/>
              <w:spacing w:after="0" w:line="173"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5"/>
                <w:szCs w:val="15"/>
                <w:color w:val="auto"/>
              </w:rPr>
            </w:pPr>
          </w:p>
        </w:tc>
        <w:tc>
          <w:tcPr>
            <w:tcW w:w="1340" w:type="dxa"/>
            <w:vAlign w:val="bottom"/>
            <w:vMerge w:val="restart"/>
          </w:tcPr>
          <w:p>
            <w:pPr>
              <w:jc w:val="right"/>
              <w:ind w:right="170"/>
              <w:spacing w:after="0"/>
              <w:rPr>
                <w:sz w:val="20"/>
                <w:szCs w:val="20"/>
                <w:color w:val="auto"/>
              </w:rPr>
            </w:pPr>
            <w:r>
              <w:rPr>
                <w:rFonts w:ascii="Arial" w:cs="Arial" w:eastAsia="Arial" w:hAnsi="Arial"/>
                <w:sz w:val="18"/>
                <w:szCs w:val="18"/>
                <w:color w:val="auto"/>
              </w:rPr>
              <w:t>Draws</w:t>
            </w:r>
            <w:r>
              <w:rPr>
                <w:rFonts w:ascii="Arial" w:cs="Arial" w:eastAsia="Arial" w:hAnsi="Arial"/>
                <w:sz w:val="9"/>
                <w:szCs w:val="9"/>
                <w:color w:val="auto"/>
              </w:rPr>
              <w:t>2</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Available</w:t>
            </w:r>
          </w:p>
        </w:tc>
        <w:tc>
          <w:tcPr>
            <w:tcW w:w="0" w:type="dxa"/>
            <w:vAlign w:val="bottom"/>
          </w:tcPr>
          <w:p>
            <w:pPr>
              <w:spacing w:after="0"/>
              <w:rPr>
                <w:sz w:val="1"/>
                <w:szCs w:val="1"/>
                <w:color w:val="auto"/>
              </w:rPr>
            </w:pPr>
          </w:p>
        </w:tc>
      </w:tr>
      <w:tr>
        <w:trPr>
          <w:trHeight w:val="221"/>
        </w:trPr>
        <w:tc>
          <w:tcPr>
            <w:tcW w:w="45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Facility</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58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2980" w:type="dxa"/>
            <w:vAlign w:val="bottom"/>
          </w:tcPr>
          <w:p>
            <w:pPr>
              <w:spacing w:after="0"/>
              <w:rPr>
                <w:sz w:val="10"/>
                <w:szCs w:val="10"/>
                <w:color w:val="auto"/>
              </w:rPr>
            </w:pPr>
          </w:p>
        </w:tc>
        <w:tc>
          <w:tcPr>
            <w:tcW w:w="11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340" w:type="dxa"/>
            <w:vAlign w:val="bottom"/>
            <w:shd w:val="clear" w:color="auto" w:fill="DBDBDB"/>
          </w:tcPr>
          <w:p>
            <w:pPr>
              <w:spacing w:after="0"/>
              <w:rPr>
                <w:sz w:val="10"/>
                <w:szCs w:val="10"/>
                <w:color w:val="auto"/>
              </w:rPr>
            </w:pPr>
          </w:p>
        </w:tc>
        <w:tc>
          <w:tcPr>
            <w:tcW w:w="112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580" w:type="dxa"/>
            <w:vAlign w:val="bottom"/>
          </w:tcPr>
          <w:p>
            <w:pPr>
              <w:spacing w:after="0" w:line="183" w:lineRule="exact"/>
              <w:rPr>
                <w:sz w:val="20"/>
                <w:szCs w:val="20"/>
                <w:color w:val="auto"/>
              </w:rPr>
            </w:pPr>
            <w:r>
              <w:rPr>
                <w:rFonts w:ascii="Arial" w:cs="Arial" w:eastAsia="Arial" w:hAnsi="Arial"/>
                <w:sz w:val="18"/>
                <w:szCs w:val="18"/>
                <w:color w:val="auto"/>
              </w:rPr>
              <w:t>Enbridge Inc.</w:t>
            </w:r>
          </w:p>
        </w:tc>
        <w:tc>
          <w:tcPr>
            <w:tcW w:w="2980" w:type="dxa"/>
            <w:vAlign w:val="bottom"/>
          </w:tcPr>
          <w:p>
            <w:pPr>
              <w:jc w:val="right"/>
              <w:spacing w:after="0" w:line="183" w:lineRule="exact"/>
              <w:rPr>
                <w:sz w:val="20"/>
                <w:szCs w:val="20"/>
                <w:color w:val="auto"/>
              </w:rPr>
            </w:pPr>
            <w:r>
              <w:rPr>
                <w:rFonts w:ascii="Arial" w:cs="Arial" w:eastAsia="Arial" w:hAnsi="Arial"/>
                <w:sz w:val="18"/>
                <w:szCs w:val="18"/>
                <w:color w:val="auto"/>
              </w:rPr>
              <w:t>2027-2049</w:t>
            </w:r>
          </w:p>
        </w:tc>
        <w:tc>
          <w:tcPr>
            <w:tcW w:w="1120" w:type="dxa"/>
            <w:vAlign w:val="bottom"/>
            <w:shd w:val="clear" w:color="auto" w:fill="DBDBDB"/>
          </w:tcPr>
          <w:p>
            <w:pPr>
              <w:jc w:val="right"/>
              <w:spacing w:after="0" w:line="183" w:lineRule="exact"/>
              <w:rPr>
                <w:sz w:val="20"/>
                <w:szCs w:val="20"/>
                <w:color w:val="auto"/>
              </w:rPr>
            </w:pPr>
            <w:r>
              <w:rPr>
                <w:rFonts w:ascii="Arial" w:cs="Arial" w:eastAsia="Arial" w:hAnsi="Arial"/>
                <w:sz w:val="18"/>
                <w:szCs w:val="18"/>
                <w:b w:val="1"/>
                <w:bCs w:val="1"/>
                <w:color w:val="auto"/>
              </w:rPr>
              <w:t>8,040</w:t>
            </w:r>
          </w:p>
        </w:tc>
        <w:tc>
          <w:tcPr>
            <w:tcW w:w="1440" w:type="dxa"/>
            <w:vAlign w:val="bottom"/>
            <w:gridSpan w:val="2"/>
            <w:shd w:val="clear" w:color="auto" w:fill="DBDBDB"/>
          </w:tcPr>
          <w:p>
            <w:pPr>
              <w:jc w:val="right"/>
              <w:ind w:right="170"/>
              <w:spacing w:after="0" w:line="183" w:lineRule="exact"/>
              <w:rPr>
                <w:sz w:val="20"/>
                <w:szCs w:val="20"/>
                <w:color w:val="auto"/>
              </w:rPr>
            </w:pPr>
            <w:r>
              <w:rPr>
                <w:rFonts w:ascii="Arial" w:cs="Arial" w:eastAsia="Arial" w:hAnsi="Arial"/>
                <w:sz w:val="18"/>
                <w:szCs w:val="18"/>
                <w:b w:val="1"/>
                <w:bCs w:val="1"/>
                <w:color w:val="auto"/>
              </w:rPr>
              <w:t>5,905</w:t>
            </w:r>
          </w:p>
        </w:tc>
        <w:tc>
          <w:tcPr>
            <w:tcW w:w="1120" w:type="dxa"/>
            <w:vAlign w:val="bottom"/>
            <w:shd w:val="clear" w:color="auto" w:fill="DBDBDB"/>
          </w:tcPr>
          <w:p>
            <w:pPr>
              <w:jc w:val="right"/>
              <w:ind w:right="30"/>
              <w:spacing w:after="0" w:line="183" w:lineRule="exact"/>
              <w:rPr>
                <w:sz w:val="20"/>
                <w:szCs w:val="20"/>
                <w:color w:val="auto"/>
              </w:rPr>
            </w:pPr>
            <w:r>
              <w:rPr>
                <w:rFonts w:ascii="Arial" w:cs="Arial" w:eastAsia="Arial" w:hAnsi="Arial"/>
                <w:sz w:val="18"/>
                <w:szCs w:val="18"/>
                <w:b w:val="1"/>
                <w:bCs w:val="1"/>
                <w:color w:val="auto"/>
              </w:rPr>
              <w:t>2,135</w:t>
            </w:r>
          </w:p>
        </w:tc>
        <w:tc>
          <w:tcPr>
            <w:tcW w:w="0" w:type="dxa"/>
            <w:vAlign w:val="bottom"/>
          </w:tcPr>
          <w:p>
            <w:pPr>
              <w:spacing w:after="0"/>
              <w:rPr>
                <w:sz w:val="1"/>
                <w:szCs w:val="1"/>
                <w:color w:val="auto"/>
              </w:rPr>
            </w:pPr>
          </w:p>
        </w:tc>
      </w:tr>
      <w:tr>
        <w:trPr>
          <w:trHeight w:val="189"/>
        </w:trPr>
        <w:tc>
          <w:tcPr>
            <w:tcW w:w="4580" w:type="dxa"/>
            <w:vAlign w:val="bottom"/>
          </w:tcPr>
          <w:p>
            <w:pPr>
              <w:spacing w:after="0" w:line="189" w:lineRule="exact"/>
              <w:rPr>
                <w:sz w:val="20"/>
                <w:szCs w:val="20"/>
                <w:color w:val="auto"/>
              </w:rPr>
            </w:pPr>
            <w:r>
              <w:rPr>
                <w:rFonts w:ascii="Arial" w:cs="Arial" w:eastAsia="Arial" w:hAnsi="Arial"/>
                <w:sz w:val="18"/>
                <w:szCs w:val="18"/>
                <w:color w:val="auto"/>
              </w:rPr>
              <w:t>Enbridge (U.S.) Inc.</w:t>
            </w:r>
          </w:p>
        </w:tc>
        <w:tc>
          <w:tcPr>
            <w:tcW w:w="2980" w:type="dxa"/>
            <w:vAlign w:val="bottom"/>
          </w:tcPr>
          <w:p>
            <w:pPr>
              <w:jc w:val="right"/>
              <w:spacing w:after="0" w:line="189" w:lineRule="exact"/>
              <w:rPr>
                <w:sz w:val="20"/>
                <w:szCs w:val="20"/>
                <w:color w:val="auto"/>
              </w:rPr>
            </w:pPr>
            <w:r>
              <w:rPr>
                <w:rFonts w:ascii="Arial" w:cs="Arial" w:eastAsia="Arial" w:hAnsi="Arial"/>
                <w:sz w:val="18"/>
                <w:szCs w:val="18"/>
                <w:color w:val="auto"/>
              </w:rPr>
              <w:t>2027-2030</w:t>
            </w:r>
          </w:p>
        </w:tc>
        <w:tc>
          <w:tcPr>
            <w:tcW w:w="1120" w:type="dxa"/>
            <w:vAlign w:val="bottom"/>
            <w:shd w:val="clear" w:color="auto" w:fill="DBDBDB"/>
          </w:tcPr>
          <w:p>
            <w:pPr>
              <w:jc w:val="right"/>
              <w:spacing w:after="0" w:line="189" w:lineRule="exact"/>
              <w:rPr>
                <w:sz w:val="20"/>
                <w:szCs w:val="20"/>
                <w:color w:val="auto"/>
              </w:rPr>
            </w:pPr>
            <w:r>
              <w:rPr>
                <w:rFonts w:ascii="Arial" w:cs="Arial" w:eastAsia="Arial" w:hAnsi="Arial"/>
                <w:sz w:val="18"/>
                <w:szCs w:val="18"/>
                <w:b w:val="1"/>
                <w:bCs w:val="1"/>
                <w:color w:val="auto"/>
              </w:rPr>
              <w:t>10,493</w:t>
            </w:r>
          </w:p>
        </w:tc>
        <w:tc>
          <w:tcPr>
            <w:tcW w:w="1440" w:type="dxa"/>
            <w:vAlign w:val="bottom"/>
            <w:gridSpan w:val="2"/>
            <w:shd w:val="clear" w:color="auto" w:fill="DBDBDB"/>
          </w:tcPr>
          <w:p>
            <w:pPr>
              <w:jc w:val="right"/>
              <w:ind w:right="170"/>
              <w:spacing w:after="0" w:line="189" w:lineRule="exact"/>
              <w:rPr>
                <w:sz w:val="20"/>
                <w:szCs w:val="20"/>
                <w:color w:val="auto"/>
              </w:rPr>
            </w:pPr>
            <w:r>
              <w:rPr>
                <w:rFonts w:ascii="Arial" w:cs="Arial" w:eastAsia="Arial" w:hAnsi="Arial"/>
                <w:sz w:val="18"/>
                <w:szCs w:val="18"/>
                <w:b w:val="1"/>
                <w:bCs w:val="1"/>
                <w:color w:val="auto"/>
              </w:rPr>
              <w:t>3,772</w:t>
            </w:r>
          </w:p>
        </w:tc>
        <w:tc>
          <w:tcPr>
            <w:tcW w:w="1120" w:type="dxa"/>
            <w:vAlign w:val="bottom"/>
            <w:shd w:val="clear" w:color="auto" w:fill="DBDBDB"/>
          </w:tcPr>
          <w:p>
            <w:pPr>
              <w:jc w:val="right"/>
              <w:ind w:right="30"/>
              <w:spacing w:after="0" w:line="189" w:lineRule="exact"/>
              <w:rPr>
                <w:sz w:val="20"/>
                <w:szCs w:val="20"/>
                <w:color w:val="auto"/>
              </w:rPr>
            </w:pPr>
            <w:r>
              <w:rPr>
                <w:rFonts w:ascii="Arial" w:cs="Arial" w:eastAsia="Arial" w:hAnsi="Arial"/>
                <w:sz w:val="18"/>
                <w:szCs w:val="18"/>
                <w:b w:val="1"/>
                <w:bCs w:val="1"/>
                <w:color w:val="auto"/>
              </w:rPr>
              <w:t>6,721</w:t>
            </w:r>
          </w:p>
        </w:tc>
        <w:tc>
          <w:tcPr>
            <w:tcW w:w="0" w:type="dxa"/>
            <w:vAlign w:val="bottom"/>
          </w:tcPr>
          <w:p>
            <w:pPr>
              <w:spacing w:after="0"/>
              <w:rPr>
                <w:sz w:val="1"/>
                <w:szCs w:val="1"/>
                <w:color w:val="auto"/>
              </w:rPr>
            </w:pPr>
          </w:p>
        </w:tc>
      </w:tr>
      <w:tr>
        <w:trPr>
          <w:trHeight w:val="189"/>
        </w:trPr>
        <w:tc>
          <w:tcPr>
            <w:tcW w:w="4580" w:type="dxa"/>
            <w:vAlign w:val="bottom"/>
          </w:tcPr>
          <w:p>
            <w:pPr>
              <w:spacing w:after="0" w:line="189" w:lineRule="exact"/>
              <w:rPr>
                <w:sz w:val="20"/>
                <w:szCs w:val="20"/>
                <w:color w:val="auto"/>
              </w:rPr>
            </w:pPr>
            <w:r>
              <w:rPr>
                <w:rFonts w:ascii="Arial" w:cs="Arial" w:eastAsia="Arial" w:hAnsi="Arial"/>
                <w:sz w:val="18"/>
                <w:szCs w:val="18"/>
                <w:color w:val="auto"/>
              </w:rPr>
              <w:t>Enbridge Pipelines Inc.</w:t>
            </w:r>
          </w:p>
        </w:tc>
        <w:tc>
          <w:tcPr>
            <w:tcW w:w="2980" w:type="dxa"/>
            <w:vAlign w:val="bottom"/>
          </w:tcPr>
          <w:p>
            <w:pPr>
              <w:jc w:val="right"/>
              <w:spacing w:after="0" w:line="189" w:lineRule="exact"/>
              <w:rPr>
                <w:sz w:val="20"/>
                <w:szCs w:val="20"/>
                <w:color w:val="auto"/>
              </w:rPr>
            </w:pPr>
            <w:r>
              <w:rPr>
                <w:rFonts w:ascii="Arial" w:cs="Arial" w:eastAsia="Arial" w:hAnsi="Arial"/>
                <w:sz w:val="18"/>
                <w:szCs w:val="18"/>
                <w:color w:val="auto"/>
              </w:rPr>
              <w:t>2027</w:t>
            </w:r>
          </w:p>
        </w:tc>
        <w:tc>
          <w:tcPr>
            <w:tcW w:w="1120" w:type="dxa"/>
            <w:vAlign w:val="bottom"/>
            <w:shd w:val="clear" w:color="auto" w:fill="DBDBDB"/>
          </w:tcPr>
          <w:p>
            <w:pPr>
              <w:jc w:val="right"/>
              <w:spacing w:after="0" w:line="189" w:lineRule="exact"/>
              <w:rPr>
                <w:sz w:val="20"/>
                <w:szCs w:val="20"/>
                <w:color w:val="auto"/>
              </w:rPr>
            </w:pPr>
            <w:r>
              <w:rPr>
                <w:rFonts w:ascii="Arial" w:cs="Arial" w:eastAsia="Arial" w:hAnsi="Arial"/>
                <w:sz w:val="18"/>
                <w:szCs w:val="18"/>
                <w:b w:val="1"/>
                <w:bCs w:val="1"/>
                <w:color w:val="auto"/>
              </w:rPr>
              <w:t>2,000</w:t>
            </w:r>
          </w:p>
        </w:tc>
        <w:tc>
          <w:tcPr>
            <w:tcW w:w="100" w:type="dxa"/>
            <w:vAlign w:val="bottom"/>
            <w:shd w:val="clear" w:color="auto" w:fill="DBDBDB"/>
          </w:tcPr>
          <w:p>
            <w:pPr>
              <w:spacing w:after="0"/>
              <w:rPr>
                <w:sz w:val="16"/>
                <w:szCs w:val="16"/>
                <w:color w:val="auto"/>
              </w:rPr>
            </w:pPr>
          </w:p>
        </w:tc>
        <w:tc>
          <w:tcPr>
            <w:tcW w:w="1340" w:type="dxa"/>
            <w:vAlign w:val="bottom"/>
            <w:shd w:val="clear" w:color="auto" w:fill="DBDBDB"/>
          </w:tcPr>
          <w:p>
            <w:pPr>
              <w:jc w:val="right"/>
              <w:ind w:right="170"/>
              <w:spacing w:after="0" w:line="189" w:lineRule="exact"/>
              <w:rPr>
                <w:sz w:val="20"/>
                <w:szCs w:val="20"/>
                <w:color w:val="auto"/>
              </w:rPr>
            </w:pPr>
            <w:r>
              <w:rPr>
                <w:rFonts w:ascii="Arial" w:cs="Arial" w:eastAsia="Arial" w:hAnsi="Arial"/>
                <w:sz w:val="18"/>
                <w:szCs w:val="18"/>
                <w:b w:val="1"/>
                <w:bCs w:val="1"/>
                <w:color w:val="auto"/>
              </w:rPr>
              <w:t>847</w:t>
            </w:r>
          </w:p>
        </w:tc>
        <w:tc>
          <w:tcPr>
            <w:tcW w:w="1120" w:type="dxa"/>
            <w:vAlign w:val="bottom"/>
            <w:shd w:val="clear" w:color="auto" w:fill="DBDBDB"/>
          </w:tcPr>
          <w:p>
            <w:pPr>
              <w:jc w:val="right"/>
              <w:ind w:right="30"/>
              <w:spacing w:after="0" w:line="189" w:lineRule="exact"/>
              <w:rPr>
                <w:sz w:val="20"/>
                <w:szCs w:val="20"/>
                <w:color w:val="auto"/>
              </w:rPr>
            </w:pPr>
            <w:r>
              <w:rPr>
                <w:rFonts w:ascii="Arial" w:cs="Arial" w:eastAsia="Arial" w:hAnsi="Arial"/>
                <w:sz w:val="18"/>
                <w:szCs w:val="18"/>
                <w:b w:val="1"/>
                <w:bCs w:val="1"/>
                <w:color w:val="auto"/>
              </w:rPr>
              <w:t>1,153</w:t>
            </w:r>
          </w:p>
        </w:tc>
        <w:tc>
          <w:tcPr>
            <w:tcW w:w="0" w:type="dxa"/>
            <w:vAlign w:val="bottom"/>
          </w:tcPr>
          <w:p>
            <w:pPr>
              <w:spacing w:after="0"/>
              <w:rPr>
                <w:sz w:val="1"/>
                <w:szCs w:val="1"/>
                <w:color w:val="auto"/>
              </w:rPr>
            </w:pPr>
          </w:p>
        </w:tc>
      </w:tr>
      <w:tr>
        <w:trPr>
          <w:trHeight w:val="22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Enbridge Gas Inc.</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2,500</w:t>
            </w:r>
          </w:p>
        </w:tc>
        <w:tc>
          <w:tcPr>
            <w:tcW w:w="10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b w:val="1"/>
                <w:bCs w:val="1"/>
                <w:color w:val="auto"/>
              </w:rPr>
              <w:t>1,490</w:t>
            </w:r>
          </w:p>
        </w:tc>
        <w:tc>
          <w:tcPr>
            <w:tcW w:w="112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rPr>
              <w:t>1,010</w:t>
            </w:r>
          </w:p>
        </w:tc>
        <w:tc>
          <w:tcPr>
            <w:tcW w:w="0" w:type="dxa"/>
            <w:vAlign w:val="bottom"/>
          </w:tcPr>
          <w:p>
            <w:pPr>
              <w:spacing w:after="0"/>
              <w:rPr>
                <w:sz w:val="1"/>
                <w:szCs w:val="1"/>
                <w:color w:val="auto"/>
              </w:rPr>
            </w:pPr>
          </w:p>
        </w:tc>
      </w:tr>
      <w:tr>
        <w:trPr>
          <w:trHeight w:val="183"/>
        </w:trPr>
        <w:tc>
          <w:tcPr>
            <w:tcW w:w="458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Total committed credit facilities</w:t>
            </w:r>
          </w:p>
        </w:tc>
        <w:tc>
          <w:tcPr>
            <w:tcW w:w="29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shd w:val="clear" w:color="auto" w:fill="DBDBDB"/>
          </w:tcPr>
          <w:p>
            <w:pPr>
              <w:jc w:val="right"/>
              <w:spacing w:after="0" w:line="182" w:lineRule="exact"/>
              <w:rPr>
                <w:sz w:val="20"/>
                <w:szCs w:val="20"/>
                <w:color w:val="auto"/>
              </w:rPr>
            </w:pPr>
            <w:r>
              <w:rPr>
                <w:rFonts w:ascii="Arial" w:cs="Arial" w:eastAsia="Arial" w:hAnsi="Arial"/>
                <w:sz w:val="18"/>
                <w:szCs w:val="18"/>
                <w:b w:val="1"/>
                <w:bCs w:val="1"/>
                <w:color w:val="auto"/>
              </w:rPr>
              <w:t>23,033</w:t>
            </w:r>
          </w:p>
        </w:tc>
        <w:tc>
          <w:tcPr>
            <w:tcW w:w="10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ind w:right="170"/>
              <w:spacing w:after="0" w:line="182" w:lineRule="exact"/>
              <w:rPr>
                <w:sz w:val="20"/>
                <w:szCs w:val="20"/>
                <w:color w:val="auto"/>
              </w:rPr>
            </w:pPr>
            <w:r>
              <w:rPr>
                <w:rFonts w:ascii="Arial" w:cs="Arial" w:eastAsia="Arial" w:hAnsi="Arial"/>
                <w:sz w:val="18"/>
                <w:szCs w:val="18"/>
                <w:b w:val="1"/>
                <w:bCs w:val="1"/>
                <w:color w:val="auto"/>
              </w:rPr>
              <w:t>12,014</w:t>
            </w:r>
          </w:p>
        </w:tc>
        <w:tc>
          <w:tcPr>
            <w:tcW w:w="1120" w:type="dxa"/>
            <w:vAlign w:val="bottom"/>
            <w:tcBorders>
              <w:bottom w:val="single" w:sz="8" w:color="auto"/>
            </w:tcBorders>
            <w:shd w:val="clear" w:color="auto" w:fill="DBDBDB"/>
          </w:tcPr>
          <w:p>
            <w:pPr>
              <w:jc w:val="right"/>
              <w:ind w:right="30"/>
              <w:spacing w:after="0" w:line="182" w:lineRule="exact"/>
              <w:rPr>
                <w:sz w:val="20"/>
                <w:szCs w:val="20"/>
                <w:color w:val="auto"/>
              </w:rPr>
            </w:pPr>
            <w:r>
              <w:rPr>
                <w:rFonts w:ascii="Arial" w:cs="Arial" w:eastAsia="Arial" w:hAnsi="Arial"/>
                <w:sz w:val="18"/>
                <w:szCs w:val="18"/>
                <w:b w:val="1"/>
                <w:bCs w:val="1"/>
                <w:color w:val="auto"/>
              </w:rPr>
              <w:t>11,019</w:t>
            </w:r>
          </w:p>
        </w:tc>
        <w:tc>
          <w:tcPr>
            <w:tcW w:w="0" w:type="dxa"/>
            <w:vAlign w:val="bottom"/>
          </w:tcPr>
          <w:p>
            <w:pPr>
              <w:spacing w:after="0"/>
              <w:rPr>
                <w:sz w:val="1"/>
                <w:szCs w:val="1"/>
                <w:color w:val="auto"/>
              </w:rPr>
            </w:pPr>
          </w:p>
        </w:tc>
      </w:tr>
    </w:tbl>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Maturity date is inclusive of the one-year term out option for certain credit facilities.</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  Includes facility draws and commercial paper issuances that are back-stopped by credit facilities.</w:t>
      </w:r>
    </w:p>
    <w:p>
      <w:pPr>
        <w:spacing w:after="0" w:line="18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 addition to the committed credit facilities noted above, we maintain $1.6 billion of uncommitted demand letter of credit facilities, of which $923 million was unutilized as at March 31, 2026. As at December 31, 2025, we had $1.6 billion of uncommitted demand letter of credit facilities, of which $932 million was unutilized.</w:t>
      </w:r>
    </w:p>
    <w:p>
      <w:pPr>
        <w:spacing w:after="0" w:line="14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As at March 31, 2026, our net available liquidity totaled $12.7 billion (December 31, 2025 - $10.8 billion), consisting of available credit facilities of $11.0 billion (December 31, 2025 - $9.7 billion) and unrestricted cash and cash equivalents of $1.6 billion (December 31, 2025 - $1.1 billion) as reported in the Consolidated Statements of Financial Position.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37" w:name="page38"/>
    <w:bookmarkEnd w:id="37"/>
    <w:p>
      <w:pPr>
        <w:ind w:right="260"/>
        <w:spacing w:after="0" w:line="261" w:lineRule="auto"/>
        <w:rPr>
          <w:sz w:val="20"/>
          <w:szCs w:val="20"/>
          <w:color w:val="auto"/>
        </w:rPr>
      </w:pPr>
      <w:r>
        <w:rPr>
          <w:rFonts w:ascii="Arial" w:cs="Arial" w:eastAsia="Arial" w:hAnsi="Arial"/>
          <w:sz w:val="18"/>
          <w:szCs w:val="18"/>
          <w:color w:val="auto"/>
        </w:rPr>
        <w:t>Our credit facility agreements and term debt indentures include standard events of default and covenant provisions whereby accelerated repayment and/or termination of the agreements may result if we were to default on payment or violate certain covenants. As at March 31, 2026, we were in compliance with all such debt covenant provisions.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ISSUANCES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2026, we completed the following long-term debt issuances totaling $2.0 billion and US$2.0 billion:</w:t>
      </w:r>
    </w:p>
    <w:tbl>
      <w:tblPr>
        <w:tblLayout w:type="fixed"/>
        <w:tblInd w:w="0" w:type="dxa"/>
        <w:tblCellMar>
          <w:top w:w="0" w:type="dxa"/>
          <w:left w:w="0" w:type="dxa"/>
          <w:bottom w:w="0" w:type="dxa"/>
          <w:right w:w="0" w:type="dxa"/>
        </w:tblCellMar>
      </w:tblPr>
      <w:tr>
        <w:trPr>
          <w:trHeight w:val="147"/>
        </w:trPr>
        <w:tc>
          <w:tcPr>
            <w:tcW w:w="1320" w:type="dxa"/>
            <w:vAlign w:val="bottom"/>
            <w:vMerge w:val="restart"/>
          </w:tcPr>
          <w:p>
            <w:pPr>
              <w:spacing w:after="0"/>
              <w:rPr>
                <w:sz w:val="20"/>
                <w:szCs w:val="20"/>
                <w:color w:val="auto"/>
              </w:rPr>
            </w:pPr>
            <w:r>
              <w:rPr>
                <w:rFonts w:ascii="Arial" w:cs="Arial" w:eastAsia="Arial" w:hAnsi="Arial"/>
                <w:sz w:val="16"/>
                <w:szCs w:val="16"/>
                <w:color w:val="auto"/>
              </w:rPr>
              <w:t>Company</w:t>
            </w:r>
          </w:p>
        </w:tc>
        <w:tc>
          <w:tcPr>
            <w:tcW w:w="2040" w:type="dxa"/>
            <w:vAlign w:val="bottom"/>
            <w:vMerge w:val="restart"/>
          </w:tcPr>
          <w:p>
            <w:pPr>
              <w:ind w:left="380"/>
              <w:spacing w:after="0"/>
              <w:rPr>
                <w:sz w:val="20"/>
                <w:szCs w:val="20"/>
                <w:color w:val="auto"/>
              </w:rPr>
            </w:pPr>
            <w:r>
              <w:rPr>
                <w:rFonts w:ascii="Arial" w:cs="Arial" w:eastAsia="Arial" w:hAnsi="Arial"/>
                <w:sz w:val="16"/>
                <w:szCs w:val="16"/>
                <w:color w:val="auto"/>
              </w:rPr>
              <w:t>Issuance Date</w:t>
            </w:r>
          </w:p>
        </w:tc>
        <w:tc>
          <w:tcPr>
            <w:tcW w:w="8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360" w:type="dxa"/>
            <w:vAlign w:val="bottom"/>
          </w:tcPr>
          <w:p>
            <w:pPr>
              <w:jc w:val="right"/>
              <w:spacing w:after="0" w:line="147" w:lineRule="exact"/>
              <w:rPr>
                <w:sz w:val="20"/>
                <w:szCs w:val="20"/>
                <w:color w:val="auto"/>
              </w:rPr>
            </w:pPr>
            <w:r>
              <w:rPr>
                <w:rFonts w:ascii="Arial" w:cs="Arial" w:eastAsia="Arial" w:hAnsi="Arial"/>
                <w:sz w:val="16"/>
                <w:szCs w:val="16"/>
                <w:color w:val="auto"/>
              </w:rPr>
              <w:t>Principal</w:t>
            </w:r>
          </w:p>
        </w:tc>
        <w:tc>
          <w:tcPr>
            <w:tcW w:w="0" w:type="dxa"/>
            <w:vAlign w:val="bottom"/>
          </w:tcPr>
          <w:p>
            <w:pPr>
              <w:spacing w:after="0"/>
              <w:rPr>
                <w:sz w:val="1"/>
                <w:szCs w:val="1"/>
                <w:color w:val="auto"/>
              </w:rPr>
            </w:pPr>
          </w:p>
        </w:tc>
      </w:tr>
      <w:tr>
        <w:trPr>
          <w:trHeight w:val="203"/>
        </w:trPr>
        <w:tc>
          <w:tcPr>
            <w:tcW w:w="1320" w:type="dxa"/>
            <w:vAlign w:val="bottom"/>
            <w:tcBorders>
              <w:bottom w:val="single" w:sz="8" w:color="auto"/>
            </w:tcBorders>
            <w:vMerge w:val="continue"/>
          </w:tcPr>
          <w:p>
            <w:pPr>
              <w:spacing w:after="0"/>
              <w:rPr>
                <w:sz w:val="17"/>
                <w:szCs w:val="17"/>
                <w:color w:val="auto"/>
              </w:rPr>
            </w:pPr>
          </w:p>
        </w:tc>
        <w:tc>
          <w:tcPr>
            <w:tcW w:w="204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w:t>
            </w:r>
          </w:p>
        </w:tc>
        <w:tc>
          <w:tcPr>
            <w:tcW w:w="0" w:type="dxa"/>
            <w:vAlign w:val="bottom"/>
          </w:tcPr>
          <w:p>
            <w:pPr>
              <w:spacing w:after="0"/>
              <w:rPr>
                <w:sz w:val="1"/>
                <w:szCs w:val="1"/>
                <w:color w:val="auto"/>
              </w:rPr>
            </w:pPr>
          </w:p>
        </w:tc>
      </w:tr>
      <w:tr>
        <w:trPr>
          <w:trHeight w:val="114"/>
        </w:trPr>
        <w:tc>
          <w:tcPr>
            <w:tcW w:w="3360" w:type="dxa"/>
            <w:vAlign w:val="bottom"/>
            <w:gridSpan w:val="2"/>
          </w:tcPr>
          <w:p>
            <w:pPr>
              <w:spacing w:after="0" w:line="114" w:lineRule="exact"/>
              <w:rPr>
                <w:sz w:val="20"/>
                <w:szCs w:val="20"/>
                <w:color w:val="auto"/>
              </w:rPr>
            </w:pPr>
            <w:r>
              <w:rPr>
                <w:rFonts w:ascii="Arial" w:cs="Arial" w:eastAsia="Arial" w:hAnsi="Arial"/>
                <w:sz w:val="13"/>
                <w:szCs w:val="13"/>
                <w:i w:val="1"/>
                <w:iCs w:val="1"/>
                <w:color w:val="auto"/>
              </w:rPr>
              <w:t>(millions of Canadian dollars, unless otherwise stated)</w:t>
            </w:r>
          </w:p>
        </w:tc>
        <w:tc>
          <w:tcPr>
            <w:tcW w:w="86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20"/>
                <w:szCs w:val="20"/>
                <w:color w:val="auto"/>
              </w:rPr>
            </w:pPr>
            <w:r>
              <w:rPr>
                <w:rFonts w:ascii="Arial" w:cs="Arial" w:eastAsia="Arial" w:hAnsi="Arial"/>
                <w:sz w:val="16"/>
                <w:szCs w:val="16"/>
                <w:color w:val="auto"/>
              </w:rPr>
              <w:t>Enbridge Inc.</w:t>
            </w:r>
          </w:p>
        </w:tc>
        <w:tc>
          <w:tcPr>
            <w:tcW w:w="2040" w:type="dxa"/>
            <w:vAlign w:val="bottom"/>
            <w:vMerge w:val="restart"/>
          </w:tcPr>
          <w:p>
            <w:pPr>
              <w:ind w:left="380"/>
              <w:spacing w:after="0"/>
              <w:rPr>
                <w:sz w:val="20"/>
                <w:szCs w:val="20"/>
                <w:color w:val="auto"/>
              </w:rPr>
            </w:pPr>
            <w:r>
              <w:rPr>
                <w:rFonts w:ascii="Arial" w:cs="Arial" w:eastAsia="Arial" w:hAnsi="Arial"/>
                <w:sz w:val="16"/>
                <w:szCs w:val="16"/>
                <w:color w:val="auto"/>
              </w:rPr>
              <w:t>February 2026</w:t>
            </w:r>
          </w:p>
        </w:tc>
        <w:tc>
          <w:tcPr>
            <w:tcW w:w="860" w:type="dxa"/>
            <w:vAlign w:val="bottom"/>
            <w:vMerge w:val="restart"/>
          </w:tcPr>
          <w:p>
            <w:pPr>
              <w:jc w:val="right"/>
              <w:ind w:right="179"/>
              <w:spacing w:after="0"/>
              <w:rPr>
                <w:sz w:val="20"/>
                <w:szCs w:val="20"/>
                <w:color w:val="auto"/>
              </w:rPr>
            </w:pPr>
            <w:r>
              <w:rPr>
                <w:rFonts w:ascii="Arial" w:cs="Arial" w:eastAsia="Arial" w:hAnsi="Arial"/>
                <w:sz w:val="16"/>
                <w:szCs w:val="16"/>
                <w:color w:val="auto"/>
              </w:rPr>
              <w:t>3.57%</w:t>
            </w:r>
          </w:p>
        </w:tc>
        <w:tc>
          <w:tcPr>
            <w:tcW w:w="4660" w:type="dxa"/>
            <w:vAlign w:val="bottom"/>
            <w:vMerge w:val="restart"/>
          </w:tcPr>
          <w:p>
            <w:pPr>
              <w:ind w:left="240"/>
              <w:spacing w:after="0"/>
              <w:rPr>
                <w:sz w:val="20"/>
                <w:szCs w:val="20"/>
                <w:color w:val="auto"/>
              </w:rPr>
            </w:pPr>
            <w:r>
              <w:rPr>
                <w:rFonts w:ascii="Arial" w:cs="Arial" w:eastAsia="Arial" w:hAnsi="Arial"/>
                <w:sz w:val="16"/>
                <w:szCs w:val="16"/>
                <w:color w:val="auto"/>
              </w:rPr>
              <w:t>medium-term notes due February 2031</w:t>
            </w:r>
          </w:p>
        </w:tc>
        <w:tc>
          <w:tcPr>
            <w:tcW w:w="2360" w:type="dxa"/>
            <w:vAlign w:val="bottom"/>
            <w:vMerge w:val="restart"/>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136"/>
        </w:trPr>
        <w:tc>
          <w:tcPr>
            <w:tcW w:w="132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4660" w:type="dxa"/>
            <w:vAlign w:val="bottom"/>
            <w:vMerge w:val="continue"/>
          </w:tcPr>
          <w:p>
            <w:pPr>
              <w:spacing w:after="0"/>
              <w:rPr>
                <w:sz w:val="11"/>
                <w:szCs w:val="11"/>
                <w:color w:val="auto"/>
              </w:rPr>
            </w:pPr>
          </w:p>
        </w:tc>
        <w:tc>
          <w:tcPr>
            <w:tcW w:w="2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2040" w:type="dxa"/>
            <w:vAlign w:val="bottom"/>
          </w:tcPr>
          <w:p>
            <w:pPr>
              <w:ind w:left="380"/>
              <w:spacing w:after="0" w:line="175" w:lineRule="exact"/>
              <w:rPr>
                <w:sz w:val="20"/>
                <w:szCs w:val="20"/>
                <w:color w:val="auto"/>
              </w:rPr>
            </w:pPr>
            <w:r>
              <w:rPr>
                <w:rFonts w:ascii="Arial" w:cs="Arial" w:eastAsia="Arial" w:hAnsi="Arial"/>
                <w:sz w:val="16"/>
                <w:szCs w:val="16"/>
                <w:color w:val="auto"/>
              </w:rPr>
              <w:t>February 2026</w:t>
            </w:r>
          </w:p>
        </w:tc>
        <w:tc>
          <w:tcPr>
            <w:tcW w:w="860" w:type="dxa"/>
            <w:vAlign w:val="bottom"/>
          </w:tcPr>
          <w:p>
            <w:pPr>
              <w:jc w:val="right"/>
              <w:ind w:right="179"/>
              <w:spacing w:after="0" w:line="175" w:lineRule="exact"/>
              <w:rPr>
                <w:sz w:val="20"/>
                <w:szCs w:val="20"/>
                <w:color w:val="auto"/>
              </w:rPr>
            </w:pPr>
            <w:r>
              <w:rPr>
                <w:rFonts w:ascii="Arial" w:cs="Arial" w:eastAsia="Arial" w:hAnsi="Arial"/>
                <w:sz w:val="16"/>
                <w:szCs w:val="16"/>
                <w:color w:val="auto"/>
              </w:rPr>
              <w:t>4.35%</w:t>
            </w:r>
          </w:p>
        </w:tc>
        <w:tc>
          <w:tcPr>
            <w:tcW w:w="4660" w:type="dxa"/>
            <w:vAlign w:val="bottom"/>
          </w:tcPr>
          <w:p>
            <w:pPr>
              <w:ind w:left="240"/>
              <w:spacing w:after="0" w:line="175" w:lineRule="exact"/>
              <w:rPr>
                <w:sz w:val="20"/>
                <w:szCs w:val="20"/>
                <w:color w:val="auto"/>
              </w:rPr>
            </w:pPr>
            <w:r>
              <w:rPr>
                <w:rFonts w:ascii="Arial" w:cs="Arial" w:eastAsia="Arial" w:hAnsi="Arial"/>
                <w:sz w:val="16"/>
                <w:szCs w:val="16"/>
                <w:color w:val="auto"/>
              </w:rPr>
              <w:t>medium-term notes due February 2036</w:t>
            </w:r>
          </w:p>
        </w:tc>
        <w:tc>
          <w:tcPr>
            <w:tcW w:w="2360" w:type="dxa"/>
            <w:vAlign w:val="bottom"/>
          </w:tcPr>
          <w:p>
            <w:pPr>
              <w:jc w:val="right"/>
              <w:spacing w:after="0" w:line="175" w:lineRule="exact"/>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2040" w:type="dxa"/>
            <w:vAlign w:val="bottom"/>
          </w:tcPr>
          <w:p>
            <w:pPr>
              <w:ind w:left="380"/>
              <w:spacing w:after="0" w:line="175" w:lineRule="exact"/>
              <w:rPr>
                <w:sz w:val="20"/>
                <w:szCs w:val="20"/>
                <w:color w:val="auto"/>
              </w:rPr>
            </w:pPr>
            <w:r>
              <w:rPr>
                <w:rFonts w:ascii="Arial" w:cs="Arial" w:eastAsia="Arial" w:hAnsi="Arial"/>
                <w:sz w:val="16"/>
                <w:szCs w:val="16"/>
                <w:color w:val="auto"/>
              </w:rPr>
              <w:t>February 2026</w:t>
            </w:r>
          </w:p>
        </w:tc>
        <w:tc>
          <w:tcPr>
            <w:tcW w:w="860" w:type="dxa"/>
            <w:vAlign w:val="bottom"/>
          </w:tcPr>
          <w:p>
            <w:pPr>
              <w:jc w:val="right"/>
              <w:ind w:right="179"/>
              <w:spacing w:after="0" w:line="175" w:lineRule="exact"/>
              <w:rPr>
                <w:sz w:val="20"/>
                <w:szCs w:val="20"/>
                <w:color w:val="auto"/>
              </w:rPr>
            </w:pPr>
            <w:r>
              <w:rPr>
                <w:rFonts w:ascii="Arial" w:cs="Arial" w:eastAsia="Arial" w:hAnsi="Arial"/>
                <w:sz w:val="16"/>
                <w:szCs w:val="16"/>
                <w:color w:val="auto"/>
              </w:rPr>
              <w:t>5.10%</w:t>
            </w:r>
          </w:p>
        </w:tc>
        <w:tc>
          <w:tcPr>
            <w:tcW w:w="4660" w:type="dxa"/>
            <w:vAlign w:val="bottom"/>
          </w:tcPr>
          <w:p>
            <w:pPr>
              <w:ind w:left="240"/>
              <w:spacing w:after="0" w:line="175" w:lineRule="exact"/>
              <w:rPr>
                <w:sz w:val="20"/>
                <w:szCs w:val="20"/>
                <w:color w:val="auto"/>
              </w:rPr>
            </w:pPr>
            <w:r>
              <w:rPr>
                <w:rFonts w:ascii="Arial" w:cs="Arial" w:eastAsia="Arial" w:hAnsi="Arial"/>
                <w:sz w:val="16"/>
                <w:szCs w:val="16"/>
                <w:color w:val="auto"/>
              </w:rPr>
              <w:t>medium-term notes due February 2056</w:t>
            </w:r>
          </w:p>
        </w:tc>
        <w:tc>
          <w:tcPr>
            <w:tcW w:w="2360" w:type="dxa"/>
            <w:vAlign w:val="bottom"/>
          </w:tcPr>
          <w:p>
            <w:pPr>
              <w:jc w:val="right"/>
              <w:spacing w:after="0" w:line="175" w:lineRule="exact"/>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2040" w:type="dxa"/>
            <w:vAlign w:val="bottom"/>
          </w:tcPr>
          <w:p>
            <w:pPr>
              <w:ind w:left="380"/>
              <w:spacing w:after="0" w:line="175" w:lineRule="exact"/>
              <w:rPr>
                <w:sz w:val="20"/>
                <w:szCs w:val="20"/>
                <w:color w:val="auto"/>
              </w:rPr>
            </w:pPr>
            <w:r>
              <w:rPr>
                <w:rFonts w:ascii="Arial" w:cs="Arial" w:eastAsia="Arial" w:hAnsi="Arial"/>
                <w:sz w:val="16"/>
                <w:szCs w:val="16"/>
                <w:color w:val="auto"/>
              </w:rPr>
              <w:t>March 2026</w:t>
            </w:r>
          </w:p>
        </w:tc>
        <w:tc>
          <w:tcPr>
            <w:tcW w:w="860" w:type="dxa"/>
            <w:vAlign w:val="bottom"/>
          </w:tcPr>
          <w:p>
            <w:pPr>
              <w:jc w:val="right"/>
              <w:ind w:right="179"/>
              <w:spacing w:after="0" w:line="175" w:lineRule="exact"/>
              <w:rPr>
                <w:sz w:val="20"/>
                <w:szCs w:val="20"/>
                <w:color w:val="auto"/>
              </w:rPr>
            </w:pPr>
            <w:r>
              <w:rPr>
                <w:rFonts w:ascii="Arial" w:cs="Arial" w:eastAsia="Arial" w:hAnsi="Arial"/>
                <w:sz w:val="16"/>
                <w:szCs w:val="16"/>
                <w:color w:val="auto"/>
              </w:rPr>
              <w:t>4.85%</w:t>
            </w:r>
          </w:p>
        </w:tc>
        <w:tc>
          <w:tcPr>
            <w:tcW w:w="4660" w:type="dxa"/>
            <w:vAlign w:val="bottom"/>
          </w:tcPr>
          <w:p>
            <w:pPr>
              <w:ind w:left="240"/>
              <w:spacing w:after="0" w:line="175" w:lineRule="exact"/>
              <w:rPr>
                <w:sz w:val="20"/>
                <w:szCs w:val="20"/>
                <w:color w:val="auto"/>
              </w:rPr>
            </w:pPr>
            <w:r>
              <w:rPr>
                <w:rFonts w:ascii="Arial" w:cs="Arial" w:eastAsia="Arial" w:hAnsi="Arial"/>
                <w:sz w:val="16"/>
                <w:szCs w:val="16"/>
                <w:color w:val="auto"/>
              </w:rPr>
              <w:t>senior notes due March 2031</w:t>
            </w:r>
          </w:p>
        </w:tc>
        <w:tc>
          <w:tcPr>
            <w:tcW w:w="2360" w:type="dxa"/>
            <w:vAlign w:val="bottom"/>
          </w:tcPr>
          <w:p>
            <w:pPr>
              <w:jc w:val="right"/>
              <w:spacing w:after="0" w:line="175" w:lineRule="exact"/>
              <w:rPr>
                <w:sz w:val="20"/>
                <w:szCs w:val="20"/>
                <w:color w:val="auto"/>
              </w:rPr>
            </w:pPr>
            <w:r>
              <w:rPr>
                <w:rFonts w:ascii="Arial" w:cs="Arial" w:eastAsia="Arial" w:hAnsi="Arial"/>
                <w:sz w:val="16"/>
                <w:szCs w:val="16"/>
                <w:color w:val="auto"/>
              </w:rPr>
              <w:t>US$1,000</w:t>
            </w:r>
          </w:p>
        </w:tc>
        <w:tc>
          <w:tcPr>
            <w:tcW w:w="0" w:type="dxa"/>
            <w:vAlign w:val="bottom"/>
          </w:tcPr>
          <w:p>
            <w:pPr>
              <w:spacing w:after="0"/>
              <w:rPr>
                <w:sz w:val="1"/>
                <w:szCs w:val="1"/>
                <w:color w:val="auto"/>
              </w:rPr>
            </w:pPr>
          </w:p>
        </w:tc>
      </w:tr>
      <w:tr>
        <w:trPr>
          <w:trHeight w:val="203"/>
        </w:trPr>
        <w:tc>
          <w:tcPr>
            <w:tcW w:w="13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March 2026</w:t>
            </w: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5.45%</w:t>
            </w:r>
          </w:p>
        </w:tc>
        <w:tc>
          <w:tcPr>
            <w:tcW w:w="46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senior notes due March 2036</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US$1,000</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REPAYMENTS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2026, we completed the following long-term debt repayment totaling US$50 million:</w:t>
      </w:r>
    </w:p>
    <w:tbl>
      <w:tblPr>
        <w:tblLayout w:type="fixed"/>
        <w:tblInd w:w="0" w:type="dxa"/>
        <w:tblCellMar>
          <w:top w:w="0" w:type="dxa"/>
          <w:left w:w="0" w:type="dxa"/>
          <w:bottom w:w="0" w:type="dxa"/>
          <w:right w:w="0" w:type="dxa"/>
        </w:tblCellMar>
      </w:tblPr>
      <w:tr>
        <w:trPr>
          <w:trHeight w:val="147"/>
        </w:trPr>
        <w:tc>
          <w:tcPr>
            <w:tcW w:w="1200" w:type="dxa"/>
            <w:vAlign w:val="bottom"/>
            <w:vMerge w:val="restart"/>
          </w:tcPr>
          <w:p>
            <w:pPr>
              <w:spacing w:after="0"/>
              <w:rPr>
                <w:sz w:val="20"/>
                <w:szCs w:val="20"/>
                <w:color w:val="auto"/>
              </w:rPr>
            </w:pPr>
            <w:r>
              <w:rPr>
                <w:rFonts w:ascii="Arial" w:cs="Arial" w:eastAsia="Arial" w:hAnsi="Arial"/>
                <w:sz w:val="16"/>
                <w:szCs w:val="16"/>
                <w:color w:val="auto"/>
              </w:rPr>
              <w:t>Company</w:t>
            </w:r>
          </w:p>
        </w:tc>
        <w:tc>
          <w:tcPr>
            <w:tcW w:w="2160" w:type="dxa"/>
            <w:vAlign w:val="bottom"/>
            <w:vMerge w:val="restart"/>
          </w:tcPr>
          <w:p>
            <w:pPr>
              <w:ind w:left="500"/>
              <w:spacing w:after="0"/>
              <w:rPr>
                <w:sz w:val="20"/>
                <w:szCs w:val="20"/>
                <w:color w:val="auto"/>
              </w:rPr>
            </w:pPr>
            <w:r>
              <w:rPr>
                <w:rFonts w:ascii="Arial" w:cs="Arial" w:eastAsia="Arial" w:hAnsi="Arial"/>
                <w:sz w:val="16"/>
                <w:szCs w:val="16"/>
                <w:color w:val="auto"/>
              </w:rPr>
              <w:t>Repayment Date</w:t>
            </w:r>
          </w:p>
        </w:tc>
        <w:tc>
          <w:tcPr>
            <w:tcW w:w="9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320" w:type="dxa"/>
            <w:vAlign w:val="bottom"/>
          </w:tcPr>
          <w:p>
            <w:pPr>
              <w:jc w:val="right"/>
              <w:spacing w:after="0" w:line="147" w:lineRule="exact"/>
              <w:rPr>
                <w:sz w:val="20"/>
                <w:szCs w:val="20"/>
                <w:color w:val="auto"/>
              </w:rPr>
            </w:pPr>
            <w:r>
              <w:rPr>
                <w:rFonts w:ascii="Arial" w:cs="Arial" w:eastAsia="Arial" w:hAnsi="Arial"/>
                <w:sz w:val="16"/>
                <w:szCs w:val="16"/>
                <w:color w:val="auto"/>
              </w:rPr>
              <w:t>Principal</w:t>
            </w:r>
          </w:p>
        </w:tc>
        <w:tc>
          <w:tcPr>
            <w:tcW w:w="0" w:type="dxa"/>
            <w:vAlign w:val="bottom"/>
          </w:tcPr>
          <w:p>
            <w:pPr>
              <w:spacing w:after="0"/>
              <w:rPr>
                <w:sz w:val="1"/>
                <w:szCs w:val="1"/>
                <w:color w:val="auto"/>
              </w:rPr>
            </w:pPr>
          </w:p>
        </w:tc>
      </w:tr>
      <w:tr>
        <w:trPr>
          <w:trHeight w:val="203"/>
        </w:trPr>
        <w:tc>
          <w:tcPr>
            <w:tcW w:w="1200" w:type="dxa"/>
            <w:vAlign w:val="bottom"/>
            <w:tcBorders>
              <w:bottom w:val="single" w:sz="8" w:color="auto"/>
            </w:tcBorders>
            <w:vMerge w:val="continue"/>
          </w:tcPr>
          <w:p>
            <w:pPr>
              <w:spacing w:after="0"/>
              <w:rPr>
                <w:sz w:val="17"/>
                <w:szCs w:val="17"/>
                <w:color w:val="auto"/>
              </w:rPr>
            </w:pPr>
          </w:p>
        </w:tc>
        <w:tc>
          <w:tcPr>
            <w:tcW w:w="21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w:t>
            </w:r>
          </w:p>
        </w:tc>
        <w:tc>
          <w:tcPr>
            <w:tcW w:w="0" w:type="dxa"/>
            <w:vAlign w:val="bottom"/>
          </w:tcPr>
          <w:p>
            <w:pPr>
              <w:spacing w:after="0"/>
              <w:rPr>
                <w:sz w:val="1"/>
                <w:szCs w:val="1"/>
                <w:color w:val="auto"/>
              </w:rPr>
            </w:pPr>
          </w:p>
        </w:tc>
      </w:tr>
      <w:tr>
        <w:trPr>
          <w:trHeight w:val="114"/>
        </w:trPr>
        <w:tc>
          <w:tcPr>
            <w:tcW w:w="3360" w:type="dxa"/>
            <w:vAlign w:val="bottom"/>
            <w:gridSpan w:val="2"/>
          </w:tcPr>
          <w:p>
            <w:pPr>
              <w:spacing w:after="0" w:line="114" w:lineRule="exact"/>
              <w:rPr>
                <w:sz w:val="20"/>
                <w:szCs w:val="20"/>
                <w:color w:val="auto"/>
              </w:rPr>
            </w:pPr>
            <w:r>
              <w:rPr>
                <w:rFonts w:ascii="Arial" w:cs="Arial" w:eastAsia="Arial" w:hAnsi="Arial"/>
                <w:sz w:val="13"/>
                <w:szCs w:val="13"/>
                <w:i w:val="1"/>
                <w:iCs w:val="1"/>
                <w:color w:val="auto"/>
              </w:rPr>
              <w:t>(millions of Canadian dollars, unless otherwise stated)</w:t>
            </w:r>
          </w:p>
        </w:tc>
        <w:tc>
          <w:tcPr>
            <w:tcW w:w="900" w:type="dxa"/>
            <w:vAlign w:val="bottom"/>
          </w:tcPr>
          <w:p>
            <w:pPr>
              <w:spacing w:after="0"/>
              <w:rPr>
                <w:sz w:val="9"/>
                <w:szCs w:val="9"/>
                <w:color w:val="auto"/>
              </w:rPr>
            </w:pPr>
          </w:p>
        </w:tc>
        <w:tc>
          <w:tcPr>
            <w:tcW w:w="36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4260" w:type="dxa"/>
            <w:vAlign w:val="bottom"/>
            <w:gridSpan w:val="3"/>
          </w:tcPr>
          <w:p>
            <w:pPr>
              <w:spacing w:after="0" w:line="175" w:lineRule="exact"/>
              <w:rPr>
                <w:sz w:val="20"/>
                <w:szCs w:val="20"/>
                <w:color w:val="auto"/>
              </w:rPr>
            </w:pPr>
            <w:r>
              <w:rPr>
                <w:rFonts w:ascii="Arial" w:cs="Arial" w:eastAsia="Arial" w:hAnsi="Arial"/>
                <w:sz w:val="16"/>
                <w:szCs w:val="16"/>
                <w:color w:val="auto"/>
              </w:rPr>
              <w:t>Public Service Company of North Carolina, Incorporated</w:t>
            </w:r>
          </w:p>
        </w:tc>
        <w:tc>
          <w:tcPr>
            <w:tcW w:w="36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January 2026</w:t>
            </w: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6.99%</w:t>
            </w:r>
          </w:p>
        </w:tc>
        <w:tc>
          <w:tcPr>
            <w:tcW w:w="36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debentures</w:t>
            </w: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US$50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Cash flow growth, ready access to liquidity from diversified sources and a stable business model have enabled us to manage our credit profile. We actively monitor and manage key financial metrics with the objective of sustaining investment grade credit ratings from the major credit rating agencies and ongoing access to bank funding and term debt capital on attractive terms. Key measures of financial strength that are closely managed include the ability to service debt obligations from operating cash flow and the ratio of debt to EBITDA.</w:t>
      </w:r>
    </w:p>
    <w:p>
      <w:pPr>
        <w:spacing w:after="0" w:line="17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There are no material restrictions on our cash. Total restricted cash of $186 million, as reported in the Consolidated Statements of Financial Position, primarily includes reinsurance security, cash collateral, future pipeline abandonment costs collected and held in trust, amounts received in respect of specific shipper commitments and capital projects. Cash and cash equivalents held by certain subsidiaries may not be readily accessible for alternative uses by us.</w:t>
      </w:r>
    </w:p>
    <w:p>
      <w:pPr>
        <w:spacing w:after="0" w:line="15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Excluding current maturities of long-term debt, as at March 31, 2026 and December 31, 2025, we had positive and negative working capital positions of $0.6 billion and $2.8 billion, respectively. During the three months ended March 31, 2026, the major contributing factor to the positive working capital position was an increase in receivables and unbilled revenues related to seasonal fluctuations, while during the year ended December 31, 2025, the major contributing factor to the negative working capital position was the current liabilities associated with our growth capital program.</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spacing w:after="0"/>
        <w:rPr>
          <w:sz w:val="20"/>
          <w:szCs w:val="20"/>
          <w:color w:val="auto"/>
        </w:rPr>
      </w:pPr>
      <w:r>
        <w:rPr>
          <w:rFonts w:ascii="Arial" w:cs="Arial" w:eastAsia="Arial" w:hAnsi="Arial"/>
          <w:sz w:val="23"/>
          <w:szCs w:val="23"/>
          <w:b w:val="1"/>
          <w:bCs w:val="1"/>
          <w:color w:val="auto"/>
        </w:rPr>
        <w:t>SOURCES AND USES OF CASH</w:t>
      </w:r>
    </w:p>
    <w:p>
      <w:pPr>
        <w:spacing w:after="0" w:line="6"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Three months ended March</w:t>
      </w:r>
    </w:p>
    <w:tbl>
      <w:tblPr>
        <w:tblLayout w:type="fixed"/>
        <w:tblInd w:w="0" w:type="dxa"/>
        <w:tblCellMar>
          <w:top w:w="0" w:type="dxa"/>
          <w:left w:w="0" w:type="dxa"/>
          <w:bottom w:w="0" w:type="dxa"/>
          <w:right w:w="0" w:type="dxa"/>
        </w:tblCellMar>
      </w:tblPr>
      <w:tr>
        <w:trPr>
          <w:trHeight w:val="203"/>
        </w:trPr>
        <w:tc>
          <w:tcPr>
            <w:tcW w:w="8720" w:type="dxa"/>
            <w:vAlign w:val="bottom"/>
          </w:tcPr>
          <w:p>
            <w:pPr>
              <w:spacing w:after="0"/>
              <w:rPr>
                <w:sz w:val="17"/>
                <w:szCs w:val="17"/>
                <w:color w:val="auto"/>
              </w:rPr>
            </w:pPr>
          </w:p>
        </w:tc>
        <w:tc>
          <w:tcPr>
            <w:tcW w:w="1620" w:type="dxa"/>
            <w:vAlign w:val="bottom"/>
            <w:tcBorders>
              <w:bottom w:val="single" w:sz="8" w:color="auto"/>
            </w:tcBorders>
            <w:gridSpan w:val="2"/>
          </w:tcPr>
          <w:p>
            <w:pPr>
              <w:jc w:val="right"/>
              <w:ind w:right="300"/>
              <w:spacing w:after="0" w:line="203" w:lineRule="exact"/>
              <w:rPr>
                <w:sz w:val="20"/>
                <w:szCs w:val="20"/>
                <w:color w:val="auto"/>
              </w:rPr>
            </w:pPr>
            <w:r>
              <w:rPr>
                <w:rFonts w:ascii="Arial" w:cs="Arial" w:eastAsia="Arial" w:hAnsi="Arial"/>
                <w:sz w:val="18"/>
                <w:szCs w:val="18"/>
                <w:color w:val="auto"/>
              </w:rPr>
              <w:t>31,</w:t>
            </w:r>
          </w:p>
        </w:tc>
        <w:tc>
          <w:tcPr>
            <w:tcW w:w="900" w:type="dxa"/>
            <w:vAlign w:val="bottom"/>
            <w:tcBorders>
              <w:bottom w:val="single" w:sz="8" w:color="auto"/>
            </w:tcBorders>
          </w:tcPr>
          <w:p>
            <w:pPr>
              <w:spacing w:after="0"/>
              <w:rPr>
                <w:sz w:val="17"/>
                <w:szCs w:val="17"/>
                <w:color w:val="auto"/>
              </w:rPr>
            </w:pPr>
          </w:p>
        </w:tc>
      </w:tr>
      <w:tr>
        <w:trPr>
          <w:trHeight w:val="183"/>
        </w:trPr>
        <w:tc>
          <w:tcPr>
            <w:tcW w:w="8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3"/>
              <w:spacing w:after="0" w:line="182" w:lineRule="exact"/>
              <w:rPr>
                <w:sz w:val="20"/>
                <w:szCs w:val="20"/>
                <w:color w:val="auto"/>
              </w:rPr>
            </w:pPr>
            <w:r>
              <w:rPr>
                <w:rFonts w:ascii="Arial" w:cs="Arial" w:eastAsia="Arial" w:hAnsi="Arial"/>
                <w:sz w:val="18"/>
                <w:szCs w:val="18"/>
                <w:b w:val="1"/>
                <w:bCs w:val="1"/>
                <w:color w:val="auto"/>
              </w:rPr>
              <w:t>2026</w:t>
            </w: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
              <w:spacing w:after="0" w:line="182" w:lineRule="exact"/>
              <w:rPr>
                <w:sz w:val="20"/>
                <w:szCs w:val="20"/>
                <w:color w:val="auto"/>
              </w:rPr>
            </w:pPr>
            <w:r>
              <w:rPr>
                <w:rFonts w:ascii="Arial" w:cs="Arial" w:eastAsia="Arial" w:hAnsi="Arial"/>
                <w:sz w:val="18"/>
                <w:szCs w:val="18"/>
                <w:color w:val="auto"/>
              </w:rPr>
              <w:t>2025</w:t>
            </w:r>
          </w:p>
        </w:tc>
      </w:tr>
      <w:tr>
        <w:trPr>
          <w:trHeight w:val="115"/>
        </w:trPr>
        <w:tc>
          <w:tcPr>
            <w:tcW w:w="872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1260" w:type="dxa"/>
            <w:vAlign w:val="bottom"/>
            <w:shd w:val="clear" w:color="auto" w:fill="DDDDDD"/>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84"/>
        </w:trPr>
        <w:tc>
          <w:tcPr>
            <w:tcW w:w="8720" w:type="dxa"/>
            <w:vAlign w:val="bottom"/>
          </w:tcPr>
          <w:p>
            <w:pPr>
              <w:spacing w:after="0" w:line="183" w:lineRule="exact"/>
              <w:rPr>
                <w:sz w:val="20"/>
                <w:szCs w:val="20"/>
                <w:color w:val="auto"/>
              </w:rPr>
            </w:pPr>
            <w:r>
              <w:rPr>
                <w:rFonts w:ascii="Arial" w:cs="Arial" w:eastAsia="Arial" w:hAnsi="Arial"/>
                <w:sz w:val="18"/>
                <w:szCs w:val="18"/>
                <w:color w:val="auto"/>
              </w:rPr>
              <w:t>Operating activities</w:t>
            </w:r>
          </w:p>
        </w:tc>
        <w:tc>
          <w:tcPr>
            <w:tcW w:w="1260" w:type="dxa"/>
            <w:vAlign w:val="bottom"/>
            <w:shd w:val="clear" w:color="auto" w:fill="DDDDDD"/>
          </w:tcPr>
          <w:p>
            <w:pPr>
              <w:jc w:val="right"/>
              <w:ind w:right="33"/>
              <w:spacing w:after="0" w:line="184" w:lineRule="exact"/>
              <w:rPr>
                <w:sz w:val="20"/>
                <w:szCs w:val="20"/>
                <w:color w:val="auto"/>
              </w:rPr>
            </w:pPr>
            <w:r>
              <w:rPr>
                <w:rFonts w:ascii="Arial" w:cs="Arial" w:eastAsia="Arial" w:hAnsi="Arial"/>
                <w:sz w:val="17"/>
                <w:szCs w:val="17"/>
                <w:b w:val="1"/>
                <w:bCs w:val="1"/>
                <w:color w:val="auto"/>
              </w:rPr>
              <w:t>2,342</w:t>
            </w:r>
          </w:p>
        </w:tc>
        <w:tc>
          <w:tcPr>
            <w:tcW w:w="360" w:type="dxa"/>
            <w:vAlign w:val="bottom"/>
          </w:tcPr>
          <w:p>
            <w:pPr>
              <w:spacing w:after="0"/>
              <w:rPr>
                <w:sz w:val="15"/>
                <w:szCs w:val="15"/>
                <w:color w:val="auto"/>
              </w:rPr>
            </w:pPr>
          </w:p>
        </w:tc>
        <w:tc>
          <w:tcPr>
            <w:tcW w:w="900" w:type="dxa"/>
            <w:vAlign w:val="bottom"/>
          </w:tcPr>
          <w:p>
            <w:pPr>
              <w:jc w:val="right"/>
              <w:ind w:right="34"/>
              <w:spacing w:after="0" w:line="184" w:lineRule="exact"/>
              <w:rPr>
                <w:sz w:val="20"/>
                <w:szCs w:val="20"/>
                <w:color w:val="auto"/>
              </w:rPr>
            </w:pPr>
            <w:r>
              <w:rPr>
                <w:rFonts w:ascii="Arial" w:cs="Arial" w:eastAsia="Arial" w:hAnsi="Arial"/>
                <w:sz w:val="17"/>
                <w:szCs w:val="17"/>
                <w:color w:val="auto"/>
              </w:rPr>
              <w:t>3,053</w:t>
            </w:r>
          </w:p>
        </w:tc>
      </w:tr>
      <w:tr>
        <w:trPr>
          <w:trHeight w:val="189"/>
        </w:trPr>
        <w:tc>
          <w:tcPr>
            <w:tcW w:w="8720" w:type="dxa"/>
            <w:vAlign w:val="bottom"/>
          </w:tcPr>
          <w:p>
            <w:pPr>
              <w:spacing w:after="0" w:line="189" w:lineRule="exact"/>
              <w:rPr>
                <w:sz w:val="20"/>
                <w:szCs w:val="20"/>
                <w:color w:val="auto"/>
              </w:rPr>
            </w:pPr>
            <w:r>
              <w:rPr>
                <w:rFonts w:ascii="Arial" w:cs="Arial" w:eastAsia="Arial" w:hAnsi="Arial"/>
                <w:sz w:val="18"/>
                <w:szCs w:val="18"/>
                <w:color w:val="auto"/>
              </w:rPr>
              <w:t>Investing activities</w:t>
            </w:r>
          </w:p>
        </w:tc>
        <w:tc>
          <w:tcPr>
            <w:tcW w:w="1260" w:type="dxa"/>
            <w:vAlign w:val="bottom"/>
            <w:shd w:val="clear" w:color="auto" w:fill="DDDDDD"/>
          </w:tcPr>
          <w:p>
            <w:pPr>
              <w:jc w:val="right"/>
              <w:ind w:right="33"/>
              <w:spacing w:after="0" w:line="189" w:lineRule="exact"/>
              <w:rPr>
                <w:sz w:val="20"/>
                <w:szCs w:val="20"/>
                <w:color w:val="auto"/>
              </w:rPr>
            </w:pPr>
            <w:r>
              <w:rPr>
                <w:rFonts w:ascii="Arial" w:cs="Arial" w:eastAsia="Arial" w:hAnsi="Arial"/>
                <w:sz w:val="17"/>
                <w:szCs w:val="17"/>
                <w:b w:val="1"/>
                <w:bCs w:val="1"/>
                <w:color w:val="auto"/>
              </w:rPr>
              <w:t>(2,825)</w:t>
            </w:r>
          </w:p>
        </w:tc>
        <w:tc>
          <w:tcPr>
            <w:tcW w:w="3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(1,789)</w:t>
            </w:r>
          </w:p>
        </w:tc>
      </w:tr>
      <w:tr>
        <w:trPr>
          <w:trHeight w:val="189"/>
        </w:trPr>
        <w:tc>
          <w:tcPr>
            <w:tcW w:w="8720" w:type="dxa"/>
            <w:vAlign w:val="bottom"/>
          </w:tcPr>
          <w:p>
            <w:pPr>
              <w:spacing w:after="0" w:line="189" w:lineRule="exact"/>
              <w:rPr>
                <w:sz w:val="20"/>
                <w:szCs w:val="20"/>
                <w:color w:val="auto"/>
              </w:rPr>
            </w:pPr>
            <w:r>
              <w:rPr>
                <w:rFonts w:ascii="Arial" w:cs="Arial" w:eastAsia="Arial" w:hAnsi="Arial"/>
                <w:sz w:val="18"/>
                <w:szCs w:val="18"/>
                <w:color w:val="auto"/>
              </w:rPr>
              <w:t>Financing activities</w:t>
            </w:r>
          </w:p>
        </w:tc>
        <w:tc>
          <w:tcPr>
            <w:tcW w:w="1260" w:type="dxa"/>
            <w:vAlign w:val="bottom"/>
            <w:shd w:val="clear" w:color="auto" w:fill="DDDDDD"/>
          </w:tcPr>
          <w:p>
            <w:pPr>
              <w:jc w:val="right"/>
              <w:ind w:right="33"/>
              <w:spacing w:after="0" w:line="189" w:lineRule="exact"/>
              <w:rPr>
                <w:sz w:val="20"/>
                <w:szCs w:val="20"/>
                <w:color w:val="auto"/>
              </w:rPr>
            </w:pPr>
            <w:r>
              <w:rPr>
                <w:rFonts w:ascii="Arial" w:cs="Arial" w:eastAsia="Arial" w:hAnsi="Arial"/>
                <w:sz w:val="17"/>
                <w:szCs w:val="17"/>
                <w:b w:val="1"/>
                <w:bCs w:val="1"/>
                <w:color w:val="auto"/>
              </w:rPr>
              <w:t>1,111</w:t>
            </w:r>
          </w:p>
        </w:tc>
        <w:tc>
          <w:tcPr>
            <w:tcW w:w="3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(950)</w:t>
            </w:r>
          </w:p>
        </w:tc>
      </w:tr>
      <w:tr>
        <w:trPr>
          <w:trHeight w:val="221"/>
        </w:trPr>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translation of foreign denominated cash and cash equivalents and restricted cash</w:t>
            </w:r>
          </w:p>
        </w:tc>
        <w:tc>
          <w:tcPr>
            <w:tcW w:w="1260" w:type="dxa"/>
            <w:vAlign w:val="bottom"/>
            <w:tcBorders>
              <w:bottom w:val="single" w:sz="8" w:color="auto"/>
            </w:tcBorders>
            <w:shd w:val="clear" w:color="auto" w:fill="DDDDDD"/>
          </w:tcPr>
          <w:p>
            <w:pPr>
              <w:jc w:val="right"/>
              <w:ind w:right="33"/>
              <w:spacing w:after="0"/>
              <w:rPr>
                <w:sz w:val="20"/>
                <w:szCs w:val="20"/>
                <w:color w:val="auto"/>
              </w:rPr>
            </w:pPr>
            <w:r>
              <w:rPr>
                <w:rFonts w:ascii="Arial" w:cs="Arial" w:eastAsia="Arial" w:hAnsi="Arial"/>
                <w:sz w:val="17"/>
                <w:szCs w:val="17"/>
                <w:b w:val="1"/>
                <w:bCs w:val="1"/>
                <w:color w:val="auto"/>
              </w:rPr>
              <w:t>22</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w:t>
            </w:r>
          </w:p>
        </w:tc>
      </w:tr>
      <w:tr>
        <w:trPr>
          <w:trHeight w:val="183"/>
        </w:trPr>
        <w:tc>
          <w:tcPr>
            <w:tcW w:w="872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Net change in cash and cash equivalents and restricted cash</w:t>
            </w:r>
          </w:p>
        </w:tc>
        <w:tc>
          <w:tcPr>
            <w:tcW w:w="1260" w:type="dxa"/>
            <w:vAlign w:val="bottom"/>
            <w:tcBorders>
              <w:bottom w:val="single" w:sz="8" w:color="auto"/>
            </w:tcBorders>
            <w:shd w:val="clear" w:color="auto" w:fill="DDDDDD"/>
          </w:tcPr>
          <w:p>
            <w:pPr>
              <w:jc w:val="right"/>
              <w:ind w:right="33"/>
              <w:spacing w:after="0" w:line="183" w:lineRule="exact"/>
              <w:rPr>
                <w:sz w:val="20"/>
                <w:szCs w:val="20"/>
                <w:color w:val="auto"/>
              </w:rPr>
            </w:pPr>
            <w:r>
              <w:rPr>
                <w:rFonts w:ascii="Arial" w:cs="Arial" w:eastAsia="Arial" w:hAnsi="Arial"/>
                <w:sz w:val="17"/>
                <w:szCs w:val="17"/>
                <w:b w:val="1"/>
                <w:bCs w:val="1"/>
                <w:color w:val="auto"/>
              </w:rPr>
              <w:t>650</w:t>
            </w: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
              <w:spacing w:after="0" w:line="183" w:lineRule="exact"/>
              <w:rPr>
                <w:sz w:val="20"/>
                <w:szCs w:val="20"/>
                <w:color w:val="auto"/>
              </w:rPr>
            </w:pPr>
            <w:r>
              <w:rPr>
                <w:rFonts w:ascii="Arial" w:cs="Arial" w:eastAsia="Arial" w:hAnsi="Arial"/>
                <w:sz w:val="17"/>
                <w:szCs w:val="17"/>
                <w:color w:val="auto"/>
              </w:rPr>
              <w:t>322</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Significant sources and uses of cash for the three months ended March 31, 2026 and 2025 are summarized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 xml:space="preserve">The primary factors impacting cash provided by operating activities period-over-period include changes in our operating assets and liabilities in the normal course due to various factors, including the impact of fluctuations in commodity prices and activity levels on working capital within our business segments, the timing of tax payments and cash receipts and payments generally. Cash provided by operating activities is also impacted by changes in earnings and certain infrequent or other non-operating factors, as discussed in </w:t>
      </w:r>
      <w:r>
        <w:rPr>
          <w:rFonts w:ascii="Arial" w:cs="Arial" w:eastAsia="Arial" w:hAnsi="Arial"/>
          <w:sz w:val="18"/>
          <w:szCs w:val="18"/>
          <w:i w:val="1"/>
          <w:iCs w:val="1"/>
          <w:color w:val="auto"/>
        </w:rPr>
        <w:t>Results of Operations</w:t>
      </w:r>
      <w:r>
        <w:rPr>
          <w:rFonts w:ascii="Arial" w:cs="Arial" w:eastAsia="Arial" w:hAnsi="Arial"/>
          <w:sz w:val="18"/>
          <w:szCs w:val="18"/>
          <w:color w:val="auto"/>
        </w:rPr>
        <w:t>, as well as Distributions from equity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 xml:space="preserve">Cash used in investing activities includes capital expenditures to execute our capital program, which is further described in </w:t>
      </w:r>
      <w:r>
        <w:rPr>
          <w:rFonts w:ascii="Arial" w:cs="Arial" w:eastAsia="Arial" w:hAnsi="Arial"/>
          <w:sz w:val="18"/>
          <w:szCs w:val="18"/>
          <w:i w:val="1"/>
          <w:iCs w:val="1"/>
          <w:color w:val="auto"/>
        </w:rPr>
        <w:t>Growth Projects -</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Commercially Secured Projects</w:t>
      </w:r>
      <w:r>
        <w:rPr>
          <w:rFonts w:ascii="Arial" w:cs="Arial" w:eastAsia="Arial" w:hAnsi="Arial"/>
          <w:sz w:val="18"/>
          <w:szCs w:val="18"/>
          <w:color w:val="auto"/>
        </w:rPr>
        <w:t>. The timing of project approval, construction and in-service dates impacts the timing of cash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Cash used in investing activities is also impacted by acquisitions, dispositions and changes in contributions to, and distributions from, our equity investments. The increase in cash used in investing activities period-over-period was primarily due to higher capital expenditures in 2026 when compared to the same period in 2025.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Cash provided by financing activities primarily relates to issuances and repayments of external debt, as well as transactions with our common and preference shareholders relating to dividends, share issuances, and share redemptions. Cash provided by financing activities is also impacted by changes in distributions to, and contributions from, noncontrolling interests and redeemable noncontrolling interest. The increase in cash provided by financing activities period-over-period was primarily due to:</w:t>
      </w:r>
    </w:p>
    <w:p>
      <w:pPr>
        <w:spacing w:after="0" w:line="180" w:lineRule="exact"/>
        <w:rPr>
          <w:sz w:val="20"/>
          <w:szCs w:val="20"/>
          <w:color w:val="auto"/>
        </w:rPr>
      </w:pPr>
    </w:p>
    <w:p>
      <w:pPr>
        <w:ind w:left="380" w:right="400" w:hanging="178"/>
        <w:spacing w:after="0" w:line="252" w:lineRule="auto"/>
        <w:tabs>
          <w:tab w:leader="none" w:pos="3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higher long-term debt issuances and lower long-term debt repayments in 2026 when compared to the same period in 2025; partially offset by</w:t>
      </w:r>
    </w:p>
    <w:p>
      <w:pPr>
        <w:spacing w:after="0" w:line="1" w:lineRule="exact"/>
        <w:rPr>
          <w:rFonts w:ascii="Times New Roman" w:cs="Times New Roman" w:eastAsia="Times New Roman" w:hAnsi="Times New Roman"/>
          <w:sz w:val="18"/>
          <w:szCs w:val="18"/>
          <w:color w:val="auto"/>
        </w:rPr>
      </w:pPr>
    </w:p>
    <w:p>
      <w:pPr>
        <w:ind w:left="380" w:hanging="178"/>
        <w:spacing w:after="0"/>
        <w:tabs>
          <w:tab w:leader="none" w:pos="3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net commercial paper and credit facility repayments in 2026 when compared to net draws during the same period in 2025.</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39" w:name="page40"/>
    <w:bookmarkEnd w:id="39"/>
    <w:p>
      <w:pPr>
        <w:spacing w:after="0"/>
        <w:rPr>
          <w:sz w:val="20"/>
          <w:szCs w:val="20"/>
          <w:color w:val="auto"/>
        </w:rPr>
      </w:pPr>
      <w:r>
        <w:rPr>
          <w:rFonts w:ascii="Arial" w:cs="Arial" w:eastAsia="Arial" w:hAnsi="Arial"/>
          <w:sz w:val="23"/>
          <w:szCs w:val="23"/>
          <w:b w:val="1"/>
          <w:bCs w:val="1"/>
          <w:color w:val="auto"/>
        </w:rPr>
        <w:t>SUMMARIZED FINANCIAL INFORMATION</w:t>
      </w:r>
    </w:p>
    <w:p>
      <w:pPr>
        <w:spacing w:after="0" w:line="22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On January 22, 2019, Enbridge entered into supplemental indentures with its wholly-owned subsidiaries, Spectra Energy Partners, LP (SEP) and Enbridge Energy Partners, L.P. (EEP) (together, the Partnerships), pursuant to which Enbridge fully and unconditionally guaranteed, on a senior unsecured basis, the payment obligations of the Partnerships with respect to the outstanding series of notes issued under the respective indentures of the Partnerships. Concurrently, the Partnerships entered into a subsidiary guarantee agreement pursuant to which they fully and unconditionally guaranteed, on a senior unsecured basis, the outstanding series of senior notes of Enbridge. The Partnerships have also entered into supplemental indentures with Enbridge pursuant to which the Partnerships have issued full and unconditional guarantees, on a senior unsecured basis, of senior notes issued by Enbridge subsequent to January 22, 2019. As a result of the guarantees, holders of any of the outstanding guaranteed notes of the Partnerships (the Guaranteed Partnership Notes) are in the same position with respect to the net assets, income and cash flows of Enbridge as holders of Enbridge's outstanding guaranteed notes (the Guaranteed Enbridge Notes), and vice versa. Other than the Partnerships, Enbridge subsidiaries (including the subsidiaries of the Partnerships, collectively, the Subsidiary Non-Guarantors), are not parties to the subsidiary guarantee agreement and have not otherwise guaranteed any of Enbridge's outstanding series of senior notes.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20"/>
                <w:szCs w:val="20"/>
                <w:color w:val="auto"/>
              </w:rPr>
            </w:pPr>
            <w:r>
              <w:rPr>
                <w:rFonts w:ascii="Arial" w:cs="Arial" w:eastAsia="Arial" w:hAnsi="Arial"/>
                <w:sz w:val="18"/>
                <w:szCs w:val="18"/>
                <w:b w:val="1"/>
                <w:bCs w:val="1"/>
                <w:color w:val="auto"/>
              </w:rPr>
              <w:t>Consenting SEP notes and EEP notes under Guarantees</w:t>
            </w:r>
          </w:p>
        </w:tc>
        <w:tc>
          <w:tcPr>
            <w:tcW w:w="6000" w:type="dxa"/>
            <w:vAlign w:val="bottom"/>
          </w:tcPr>
          <w:p>
            <w:pPr>
              <w:spacing w:after="0"/>
              <w:rPr>
                <w:sz w:val="17"/>
                <w:szCs w:val="17"/>
                <w:color w:val="auto"/>
              </w:rPr>
            </w:pPr>
          </w:p>
        </w:tc>
      </w:tr>
      <w:tr>
        <w:trPr>
          <w:trHeight w:val="221"/>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SEP Notes</w:t>
            </w:r>
            <w:r>
              <w:rPr>
                <w:rFonts w:ascii="Arial" w:cs="Arial" w:eastAsia="Arial" w:hAnsi="Arial"/>
                <w:sz w:val="9"/>
                <w:szCs w:val="9"/>
                <w:b w:val="1"/>
                <w:bCs w:val="1"/>
                <w:color w:val="auto"/>
              </w:rPr>
              <w:t>1</w:t>
            </w:r>
          </w:p>
        </w:tc>
        <w:tc>
          <w:tcPr>
            <w:tcW w:w="60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EEP Notes</w:t>
            </w:r>
            <w:r>
              <w:rPr>
                <w:rFonts w:ascii="Arial" w:cs="Arial" w:eastAsia="Arial" w:hAnsi="Arial"/>
                <w:sz w:val="9"/>
                <w:szCs w:val="9"/>
                <w:b w:val="1"/>
                <w:bCs w:val="1"/>
                <w:color w:val="auto"/>
              </w:rPr>
              <w:t>2</w:t>
            </w:r>
          </w:p>
        </w:tc>
      </w:tr>
      <w:tr>
        <w:trPr>
          <w:trHeight w:val="150"/>
        </w:trPr>
        <w:tc>
          <w:tcPr>
            <w:tcW w:w="5240" w:type="dxa"/>
            <w:vAlign w:val="bottom"/>
          </w:tcPr>
          <w:p>
            <w:pPr>
              <w:spacing w:after="0" w:line="150" w:lineRule="exact"/>
              <w:rPr>
                <w:sz w:val="20"/>
                <w:szCs w:val="20"/>
                <w:color w:val="auto"/>
              </w:rPr>
            </w:pPr>
            <w:r>
              <w:rPr>
                <w:rFonts w:ascii="Arial" w:cs="Arial" w:eastAsia="Arial" w:hAnsi="Arial"/>
                <w:sz w:val="17"/>
                <w:szCs w:val="17"/>
                <w:color w:val="auto"/>
              </w:rPr>
              <w:t>3.38% Senior Notes due 2026</w:t>
            </w:r>
          </w:p>
        </w:tc>
        <w:tc>
          <w:tcPr>
            <w:tcW w:w="6000" w:type="dxa"/>
            <w:vAlign w:val="bottom"/>
          </w:tcPr>
          <w:p>
            <w:pPr>
              <w:ind w:left="380"/>
              <w:spacing w:after="0" w:line="150" w:lineRule="exact"/>
              <w:rPr>
                <w:sz w:val="20"/>
                <w:szCs w:val="20"/>
                <w:color w:val="auto"/>
              </w:rPr>
            </w:pPr>
            <w:r>
              <w:rPr>
                <w:rFonts w:ascii="Arial" w:cs="Arial" w:eastAsia="Arial" w:hAnsi="Arial"/>
                <w:sz w:val="17"/>
                <w:szCs w:val="17"/>
                <w:color w:val="auto"/>
              </w:rPr>
              <w:t>5.95% Notes due 2033</w:t>
            </w:r>
          </w:p>
        </w:tc>
      </w:tr>
      <w:tr>
        <w:trPr>
          <w:trHeight w:val="189"/>
        </w:trPr>
        <w:tc>
          <w:tcPr>
            <w:tcW w:w="5240" w:type="dxa"/>
            <w:vAlign w:val="bottom"/>
          </w:tcPr>
          <w:p>
            <w:pPr>
              <w:spacing w:after="0" w:line="189" w:lineRule="exact"/>
              <w:rPr>
                <w:sz w:val="20"/>
                <w:szCs w:val="20"/>
                <w:color w:val="auto"/>
              </w:rPr>
            </w:pPr>
            <w:r>
              <w:rPr>
                <w:rFonts w:ascii="Arial" w:cs="Arial" w:eastAsia="Arial" w:hAnsi="Arial"/>
                <w:sz w:val="18"/>
                <w:szCs w:val="18"/>
                <w:color w:val="auto"/>
              </w:rPr>
              <w:t>5.95% Senior Notes due 2043</w:t>
            </w:r>
          </w:p>
        </w:tc>
        <w:tc>
          <w:tcPr>
            <w:tcW w:w="6000" w:type="dxa"/>
            <w:vAlign w:val="bottom"/>
          </w:tcPr>
          <w:p>
            <w:pPr>
              <w:ind w:left="380"/>
              <w:spacing w:after="0" w:line="189" w:lineRule="exact"/>
              <w:rPr>
                <w:sz w:val="20"/>
                <w:szCs w:val="20"/>
                <w:color w:val="auto"/>
              </w:rPr>
            </w:pPr>
            <w:r>
              <w:rPr>
                <w:rFonts w:ascii="Arial" w:cs="Arial" w:eastAsia="Arial" w:hAnsi="Arial"/>
                <w:sz w:val="18"/>
                <w:szCs w:val="18"/>
                <w:color w:val="auto"/>
              </w:rPr>
              <w:t>6.30% Notes due 2034</w:t>
            </w:r>
          </w:p>
        </w:tc>
      </w:tr>
      <w:tr>
        <w:trPr>
          <w:trHeight w:val="189"/>
        </w:trPr>
        <w:tc>
          <w:tcPr>
            <w:tcW w:w="5240" w:type="dxa"/>
            <w:vAlign w:val="bottom"/>
          </w:tcPr>
          <w:p>
            <w:pPr>
              <w:spacing w:after="0" w:line="189" w:lineRule="exact"/>
              <w:rPr>
                <w:sz w:val="20"/>
                <w:szCs w:val="20"/>
                <w:color w:val="auto"/>
              </w:rPr>
            </w:pPr>
            <w:r>
              <w:rPr>
                <w:rFonts w:ascii="Arial" w:cs="Arial" w:eastAsia="Arial" w:hAnsi="Arial"/>
                <w:sz w:val="18"/>
                <w:szCs w:val="18"/>
                <w:color w:val="auto"/>
              </w:rPr>
              <w:t>4.50% Senior Notes due 2045</w:t>
            </w:r>
          </w:p>
        </w:tc>
        <w:tc>
          <w:tcPr>
            <w:tcW w:w="6000" w:type="dxa"/>
            <w:vAlign w:val="bottom"/>
          </w:tcPr>
          <w:p>
            <w:pPr>
              <w:ind w:left="380"/>
              <w:spacing w:after="0" w:line="189" w:lineRule="exact"/>
              <w:rPr>
                <w:sz w:val="20"/>
                <w:szCs w:val="20"/>
                <w:color w:val="auto"/>
              </w:rPr>
            </w:pPr>
            <w:r>
              <w:rPr>
                <w:rFonts w:ascii="Arial" w:cs="Arial" w:eastAsia="Arial" w:hAnsi="Arial"/>
                <w:sz w:val="18"/>
                <w:szCs w:val="18"/>
                <w:color w:val="auto"/>
              </w:rPr>
              <w:t>7.50% Notes due 2038</w:t>
            </w:r>
          </w:p>
        </w:tc>
      </w:tr>
      <w:tr>
        <w:trPr>
          <w:trHeight w:val="203"/>
        </w:trPr>
        <w:tc>
          <w:tcPr>
            <w:tcW w:w="5240" w:type="dxa"/>
            <w:vAlign w:val="bottom"/>
          </w:tcPr>
          <w:p>
            <w:pPr>
              <w:spacing w:after="0"/>
              <w:rPr>
                <w:sz w:val="17"/>
                <w:szCs w:val="17"/>
                <w:color w:val="auto"/>
              </w:rPr>
            </w:pPr>
          </w:p>
        </w:tc>
        <w:tc>
          <w:tcPr>
            <w:tcW w:w="6000" w:type="dxa"/>
            <w:vAlign w:val="bottom"/>
          </w:tcPr>
          <w:p>
            <w:pPr>
              <w:ind w:left="380"/>
              <w:spacing w:after="0" w:line="202" w:lineRule="exact"/>
              <w:rPr>
                <w:sz w:val="20"/>
                <w:szCs w:val="20"/>
                <w:color w:val="auto"/>
              </w:rPr>
            </w:pPr>
            <w:r>
              <w:rPr>
                <w:rFonts w:ascii="Arial" w:cs="Arial" w:eastAsia="Arial" w:hAnsi="Arial"/>
                <w:sz w:val="18"/>
                <w:szCs w:val="18"/>
                <w:color w:val="auto"/>
              </w:rPr>
              <w:t>5.50% Notes due 2040</w:t>
            </w:r>
          </w:p>
        </w:tc>
      </w:tr>
      <w:tr>
        <w:trPr>
          <w:trHeight w:val="221"/>
        </w:trPr>
        <w:tc>
          <w:tcPr>
            <w:tcW w:w="5240" w:type="dxa"/>
            <w:vAlign w:val="bottom"/>
            <w:tcBorders>
              <w:bottom w:val="single" w:sz="8" w:color="auto"/>
            </w:tcBorders>
          </w:tcPr>
          <w:p>
            <w:pPr>
              <w:spacing w:after="0"/>
              <w:rPr>
                <w:sz w:val="19"/>
                <w:szCs w:val="19"/>
                <w:color w:val="auto"/>
              </w:rPr>
            </w:pPr>
          </w:p>
        </w:tc>
        <w:tc>
          <w:tcPr>
            <w:tcW w:w="60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7.38% Notes due 2045</w:t>
            </w:r>
          </w:p>
        </w:tc>
      </w:tr>
    </w:tbl>
    <w:p>
      <w:pPr>
        <w:spacing w:after="0" w:line="33" w:lineRule="exact"/>
        <w:rPr>
          <w:sz w:val="20"/>
          <w:szCs w:val="20"/>
          <w:color w:val="auto"/>
        </w:rPr>
      </w:pPr>
    </w:p>
    <w:p>
      <w:pPr>
        <w:ind w:left="200" w:hanging="177"/>
        <w:spacing w:after="0"/>
        <w:tabs>
          <w:tab w:leader="none" w:pos="20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As at March 31, 2026, the aggregate outstanding principal amount of SEP notes was approximately US$1.7 billion.</w:t>
      </w:r>
    </w:p>
    <w:p>
      <w:pPr>
        <w:spacing w:after="0" w:line="13" w:lineRule="exact"/>
        <w:rPr>
          <w:rFonts w:ascii="Arial" w:cs="Arial" w:eastAsia="Arial" w:hAnsi="Arial"/>
          <w:sz w:val="14"/>
          <w:szCs w:val="14"/>
          <w:i w:val="1"/>
          <w:iCs w:val="1"/>
          <w:color w:val="auto"/>
        </w:rPr>
      </w:pPr>
    </w:p>
    <w:p>
      <w:pPr>
        <w:ind w:left="20"/>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2  As at March 31, 2026, the aggregate outstanding principal amount of EEP notes was approximately US$1.9 billion.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Enbridge Notes under Guarantees</w:t>
            </w:r>
          </w:p>
        </w:tc>
        <w:tc>
          <w:tcPr>
            <w:tcW w:w="6380" w:type="dxa"/>
            <w:vAlign w:val="bottom"/>
            <w:gridSpan w:val="2"/>
            <w:vMerge w:val="restart"/>
          </w:tcPr>
          <w:p>
            <w:pPr>
              <w:ind w:left="760"/>
              <w:spacing w:after="0"/>
              <w:rPr>
                <w:sz w:val="20"/>
                <w:szCs w:val="20"/>
                <w:color w:val="auto"/>
              </w:rPr>
            </w:pPr>
            <w:r>
              <w:rPr>
                <w:rFonts w:ascii="Arial" w:cs="Arial" w:eastAsia="Arial" w:hAnsi="Arial"/>
                <w:sz w:val="18"/>
                <w:szCs w:val="18"/>
                <w:b w:val="1"/>
                <w:bCs w:val="1"/>
                <w:color w:val="auto"/>
              </w:rPr>
              <w:t>CAD Denominated</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221"/>
        </w:trPr>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USD Denominated</w:t>
            </w:r>
            <w:r>
              <w:rPr>
                <w:rFonts w:ascii="Arial" w:cs="Arial" w:eastAsia="Arial" w:hAnsi="Arial"/>
                <w:sz w:val="9"/>
                <w:szCs w:val="9"/>
                <w:b w:val="1"/>
                <w:bCs w:val="1"/>
                <w:color w:val="auto"/>
              </w:rPr>
              <w:t>1</w:t>
            </w:r>
          </w:p>
        </w:tc>
        <w:tc>
          <w:tcPr>
            <w:tcW w:w="63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540" w:type="dxa"/>
            <w:vAlign w:val="bottom"/>
          </w:tcPr>
          <w:p>
            <w:pPr>
              <w:spacing w:after="0" w:line="150" w:lineRule="exact"/>
              <w:rPr>
                <w:sz w:val="20"/>
                <w:szCs w:val="20"/>
                <w:color w:val="auto"/>
              </w:rPr>
            </w:pPr>
            <w:r>
              <w:rPr>
                <w:rFonts w:ascii="Arial" w:cs="Arial" w:eastAsia="Arial" w:hAnsi="Arial"/>
                <w:sz w:val="17"/>
                <w:szCs w:val="17"/>
                <w:color w:val="auto"/>
              </w:rPr>
              <w:t>1.60%</w:t>
            </w:r>
          </w:p>
        </w:tc>
        <w:tc>
          <w:tcPr>
            <w:tcW w:w="4320" w:type="dxa"/>
            <w:vAlign w:val="bottom"/>
          </w:tcPr>
          <w:p>
            <w:pPr>
              <w:ind w:left="20"/>
              <w:spacing w:after="0" w:line="150" w:lineRule="exact"/>
              <w:rPr>
                <w:sz w:val="20"/>
                <w:szCs w:val="20"/>
                <w:color w:val="auto"/>
              </w:rPr>
            </w:pPr>
            <w:r>
              <w:rPr>
                <w:rFonts w:ascii="Arial" w:cs="Arial" w:eastAsia="Arial" w:hAnsi="Arial"/>
                <w:sz w:val="17"/>
                <w:szCs w:val="17"/>
                <w:color w:val="auto"/>
              </w:rPr>
              <w:t>Senior Notes due 2026</w:t>
            </w:r>
          </w:p>
        </w:tc>
        <w:tc>
          <w:tcPr>
            <w:tcW w:w="1300" w:type="dxa"/>
            <w:vAlign w:val="bottom"/>
          </w:tcPr>
          <w:p>
            <w:pPr>
              <w:ind w:left="760"/>
              <w:spacing w:after="0" w:line="150" w:lineRule="exact"/>
              <w:rPr>
                <w:sz w:val="20"/>
                <w:szCs w:val="20"/>
                <w:color w:val="auto"/>
              </w:rPr>
            </w:pPr>
            <w:r>
              <w:rPr>
                <w:rFonts w:ascii="Arial" w:cs="Arial" w:eastAsia="Arial" w:hAnsi="Arial"/>
                <w:sz w:val="17"/>
                <w:szCs w:val="17"/>
                <w:color w:val="auto"/>
              </w:rPr>
              <w:t>3.20%</w:t>
            </w:r>
          </w:p>
        </w:tc>
        <w:tc>
          <w:tcPr>
            <w:tcW w:w="5080" w:type="dxa"/>
            <w:vAlign w:val="bottom"/>
          </w:tcPr>
          <w:p>
            <w:pPr>
              <w:ind w:left="20"/>
              <w:spacing w:after="0" w:line="150" w:lineRule="exact"/>
              <w:rPr>
                <w:sz w:val="20"/>
                <w:szCs w:val="20"/>
                <w:color w:val="auto"/>
              </w:rPr>
            </w:pPr>
            <w:r>
              <w:rPr>
                <w:rFonts w:ascii="Arial" w:cs="Arial" w:eastAsia="Arial" w:hAnsi="Arial"/>
                <w:sz w:val="17"/>
                <w:szCs w:val="17"/>
                <w:color w:val="auto"/>
              </w:rPr>
              <w:t>Senior Notes due 2027</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5.90%</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2026</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5.70%</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2027</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4.25%</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2026</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3.55%</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2028</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5.25%</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2027</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4.90%</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2028</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3.70%</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2027</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6.10%</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2028</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4.60%</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2028</w:t>
            </w:r>
          </w:p>
        </w:tc>
        <w:tc>
          <w:tcPr>
            <w:tcW w:w="6380" w:type="dxa"/>
            <w:vAlign w:val="bottom"/>
            <w:gridSpan w:val="2"/>
          </w:tcPr>
          <w:p>
            <w:pPr>
              <w:ind w:left="760"/>
              <w:spacing w:after="0" w:line="189" w:lineRule="exact"/>
              <w:rPr>
                <w:sz w:val="20"/>
                <w:szCs w:val="20"/>
                <w:color w:val="auto"/>
              </w:rPr>
            </w:pPr>
            <w:r>
              <w:rPr>
                <w:rFonts w:ascii="Arial" w:cs="Arial" w:eastAsia="Arial" w:hAnsi="Arial"/>
                <w:sz w:val="18"/>
                <w:szCs w:val="18"/>
                <w:color w:val="auto"/>
              </w:rPr>
              <w:t>Floating Rate Senior Notes due 2028</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6.00%</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2028</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2.99%</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2029</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4.20%</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2028</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4.21%</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2030</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5.30%</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2029</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3.90%</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2030</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3.13%</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2029</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7.22%</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2030</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4.90%</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2030</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3.57%</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2031</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6.20%</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2030</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7.20%</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2032</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4.50%</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2031</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6.10%</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Sustainability-Linked Senior Notes due 2032</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4.85%</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2031</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5.36%</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Sustainability-Linked Senior Notes due 2033</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5.70%</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Sustainability-Linked Senior Notes due 2033</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3.10%</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Sustainability-Linked Senior Notes due 2033</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2.50%</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Sustainability-Linked Senior Notes due 2033</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4.73%</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2034</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5.63%</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2034</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4.56%</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2035</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5.55%</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2035</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5.57%</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2035</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5.20%</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2035</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4.35%</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2036</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5.45%</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2036</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5.75%</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2039</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4.50%</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2044</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5.12%</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2040</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5.50%</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2046</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4.24%</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2042</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4.00%</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2049</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4.57%</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2044</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3.40%</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2051</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4.87%</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2044</w:t>
            </w:r>
          </w:p>
        </w:tc>
        <w:tc>
          <w:tcPr>
            <w:tcW w:w="0" w:type="dxa"/>
            <w:vAlign w:val="bottom"/>
          </w:tcPr>
          <w:p>
            <w:pPr>
              <w:spacing w:after="0"/>
              <w:rPr>
                <w:sz w:val="1"/>
                <w:szCs w:val="1"/>
                <w:color w:val="auto"/>
              </w:rPr>
            </w:pPr>
          </w:p>
        </w:tc>
      </w:tr>
      <w:tr>
        <w:trPr>
          <w:trHeight w:val="189"/>
        </w:trPr>
        <w:tc>
          <w:tcPr>
            <w:tcW w:w="540" w:type="dxa"/>
            <w:vAlign w:val="bottom"/>
          </w:tcPr>
          <w:p>
            <w:pPr>
              <w:spacing w:after="0" w:line="189" w:lineRule="exact"/>
              <w:rPr>
                <w:sz w:val="20"/>
                <w:szCs w:val="20"/>
                <w:color w:val="auto"/>
              </w:rPr>
            </w:pPr>
            <w:r>
              <w:rPr>
                <w:rFonts w:ascii="Arial" w:cs="Arial" w:eastAsia="Arial" w:hAnsi="Arial"/>
                <w:sz w:val="18"/>
                <w:szCs w:val="18"/>
                <w:color w:val="auto"/>
              </w:rPr>
              <w:t>6.70%</w:t>
            </w:r>
          </w:p>
        </w:tc>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2053</w:t>
            </w: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4.10%</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2051</w:t>
            </w:r>
          </w:p>
        </w:tc>
        <w:tc>
          <w:tcPr>
            <w:tcW w:w="0" w:type="dxa"/>
            <w:vAlign w:val="bottom"/>
          </w:tcPr>
          <w:p>
            <w:pPr>
              <w:spacing w:after="0"/>
              <w:rPr>
                <w:sz w:val="1"/>
                <w:szCs w:val="1"/>
                <w:color w:val="auto"/>
              </w:rPr>
            </w:pP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rPr>
              <w:t>5.95%</w:t>
            </w:r>
          </w:p>
        </w:tc>
        <w:tc>
          <w:tcPr>
            <w:tcW w:w="4320" w:type="dxa"/>
            <w:vAlign w:val="bottom"/>
          </w:tcPr>
          <w:p>
            <w:pPr>
              <w:ind w:left="20"/>
              <w:spacing w:after="0" w:line="202" w:lineRule="exact"/>
              <w:rPr>
                <w:sz w:val="20"/>
                <w:szCs w:val="20"/>
                <w:color w:val="auto"/>
              </w:rPr>
            </w:pPr>
            <w:r>
              <w:rPr>
                <w:rFonts w:ascii="Arial" w:cs="Arial" w:eastAsia="Arial" w:hAnsi="Arial"/>
                <w:sz w:val="18"/>
                <w:szCs w:val="18"/>
                <w:color w:val="auto"/>
              </w:rPr>
              <w:t>Senior Notes due 2054</w:t>
            </w:r>
          </w:p>
        </w:tc>
        <w:tc>
          <w:tcPr>
            <w:tcW w:w="1300" w:type="dxa"/>
            <w:vAlign w:val="bottom"/>
          </w:tcPr>
          <w:p>
            <w:pPr>
              <w:ind w:left="760"/>
              <w:spacing w:after="0" w:line="202" w:lineRule="exact"/>
              <w:rPr>
                <w:sz w:val="20"/>
                <w:szCs w:val="20"/>
                <w:color w:val="auto"/>
              </w:rPr>
            </w:pPr>
            <w:r>
              <w:rPr>
                <w:rFonts w:ascii="Arial" w:cs="Arial" w:eastAsia="Arial" w:hAnsi="Arial"/>
                <w:sz w:val="18"/>
                <w:szCs w:val="18"/>
                <w:color w:val="auto"/>
              </w:rPr>
              <w:t>6.51%</w:t>
            </w:r>
          </w:p>
        </w:tc>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Senior Notes due 2052</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300" w:type="dxa"/>
            <w:vAlign w:val="bottom"/>
          </w:tcPr>
          <w:p>
            <w:pPr>
              <w:ind w:left="760"/>
              <w:spacing w:after="0" w:line="202" w:lineRule="exact"/>
              <w:rPr>
                <w:sz w:val="20"/>
                <w:szCs w:val="20"/>
                <w:color w:val="auto"/>
              </w:rPr>
            </w:pPr>
            <w:r>
              <w:rPr>
                <w:rFonts w:ascii="Arial" w:cs="Arial" w:eastAsia="Arial" w:hAnsi="Arial"/>
                <w:sz w:val="18"/>
                <w:szCs w:val="18"/>
                <w:color w:val="auto"/>
              </w:rPr>
              <w:t>5.76%</w:t>
            </w:r>
          </w:p>
        </w:tc>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Senior Notes due 2053</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300" w:type="dxa"/>
            <w:vAlign w:val="bottom"/>
          </w:tcPr>
          <w:p>
            <w:pPr>
              <w:ind w:left="760"/>
              <w:spacing w:after="0" w:line="202" w:lineRule="exact"/>
              <w:rPr>
                <w:sz w:val="20"/>
                <w:szCs w:val="20"/>
                <w:color w:val="auto"/>
              </w:rPr>
            </w:pPr>
            <w:r>
              <w:rPr>
                <w:rFonts w:ascii="Arial" w:cs="Arial" w:eastAsia="Arial" w:hAnsi="Arial"/>
                <w:sz w:val="18"/>
                <w:szCs w:val="18"/>
                <w:color w:val="auto"/>
              </w:rPr>
              <w:t>5.32%</w:t>
            </w:r>
          </w:p>
        </w:tc>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Senior Notes due 2054</w:t>
            </w: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300" w:type="dxa"/>
            <w:vAlign w:val="bottom"/>
          </w:tcPr>
          <w:p>
            <w:pPr>
              <w:ind w:left="760"/>
              <w:spacing w:after="0" w:line="189" w:lineRule="exact"/>
              <w:rPr>
                <w:sz w:val="20"/>
                <w:szCs w:val="20"/>
                <w:color w:val="auto"/>
              </w:rPr>
            </w:pPr>
            <w:r>
              <w:rPr>
                <w:rFonts w:ascii="Arial" w:cs="Arial" w:eastAsia="Arial" w:hAnsi="Arial"/>
                <w:sz w:val="18"/>
                <w:szCs w:val="18"/>
                <w:color w:val="auto"/>
              </w:rPr>
              <w:t>5.10%</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2056</w:t>
            </w:r>
          </w:p>
        </w:tc>
        <w:tc>
          <w:tcPr>
            <w:tcW w:w="0" w:type="dxa"/>
            <w:vAlign w:val="bottom"/>
          </w:tcPr>
          <w:p>
            <w:pPr>
              <w:spacing w:after="0"/>
              <w:rPr>
                <w:sz w:val="1"/>
                <w:szCs w:val="1"/>
                <w:color w:val="auto"/>
              </w:rPr>
            </w:pPr>
          </w:p>
        </w:tc>
      </w:tr>
      <w:tr>
        <w:trPr>
          <w:trHeight w:val="221"/>
        </w:trPr>
        <w:tc>
          <w:tcPr>
            <w:tcW w:w="54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4.56%</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Senior Notes due 2064</w:t>
            </w:r>
          </w:p>
        </w:tc>
        <w:tc>
          <w:tcPr>
            <w:tcW w:w="0" w:type="dxa"/>
            <w:vAlign w:val="bottom"/>
          </w:tcPr>
          <w:p>
            <w:pPr>
              <w:spacing w:after="0"/>
              <w:rPr>
                <w:sz w:val="1"/>
                <w:szCs w:val="1"/>
                <w:color w:val="auto"/>
              </w:rPr>
            </w:pPr>
          </w:p>
        </w:tc>
      </w:tr>
    </w:tbl>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As at March 31, 2026, the aggregate outstanding principal amount of the Enbridge US dollar-denominated notes was approximately US$21.8 billion.</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  As at March 31, 2026, the aggregate outstanding principal amount of the Enbridge Canadian dollar-denominated notes was approximately $16.5 billion.</w:t>
      </w:r>
    </w:p>
    <w:p>
      <w:pPr>
        <w:spacing w:after="0" w:line="18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Rules 3-10 and 13-01 of the US SEC Regulation S-X, together with Exchange Act Rule 12h-5, provide an exemption from the reporting requirements of the Exchange Act for fully consolidated subsidiary issuers of guaranteed securities and subsidiary guarantors and allow for summarized financial information in lieu of filing separate financial statements for each of the Partnerships.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41" w:name="page42"/>
    <w:bookmarkEnd w:id="41"/>
    <w:p>
      <w:pPr>
        <w:ind w:right="480"/>
        <w:spacing w:after="0" w:line="271" w:lineRule="auto"/>
        <w:rPr>
          <w:sz w:val="20"/>
          <w:szCs w:val="20"/>
          <w:color w:val="auto"/>
        </w:rPr>
      </w:pPr>
      <w:r>
        <w:rPr>
          <w:rFonts w:ascii="Arial" w:cs="Arial" w:eastAsia="Arial" w:hAnsi="Arial"/>
          <w:sz w:val="18"/>
          <w:szCs w:val="18"/>
          <w:color w:val="auto"/>
        </w:rPr>
        <w:t>The following Summarized Combined Statement of Earnings and Summarized Combined Statements of Financial Position combine the balances of SEP, EEP and Enbridge.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500" w:type="dxa"/>
            <w:vAlign w:val="bottom"/>
          </w:tcPr>
          <w:p>
            <w:pPr>
              <w:spacing w:after="0"/>
              <w:rPr>
                <w:sz w:val="20"/>
                <w:szCs w:val="20"/>
                <w:color w:val="auto"/>
              </w:rPr>
            </w:pPr>
            <w:r>
              <w:rPr>
                <w:rFonts w:ascii="Arial" w:cs="Arial" w:eastAsia="Arial" w:hAnsi="Arial"/>
                <w:sz w:val="18"/>
                <w:szCs w:val="18"/>
                <w:b w:val="1"/>
                <w:bCs w:val="1"/>
                <w:color w:val="auto"/>
              </w:rPr>
              <w:t>Summarized Combined Statement of Earnings</w:t>
            </w: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7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Three months ended March 31,</w:t>
            </w: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2026</w:t>
            </w:r>
          </w:p>
        </w:tc>
        <w:tc>
          <w:tcPr>
            <w:tcW w:w="0" w:type="dxa"/>
            <w:vAlign w:val="bottom"/>
          </w:tcPr>
          <w:p>
            <w:pPr>
              <w:spacing w:after="0"/>
              <w:rPr>
                <w:sz w:val="1"/>
                <w:szCs w:val="1"/>
                <w:color w:val="auto"/>
              </w:rPr>
            </w:pPr>
          </w:p>
        </w:tc>
      </w:tr>
      <w:tr>
        <w:trPr>
          <w:trHeight w:val="115"/>
        </w:trPr>
        <w:tc>
          <w:tcPr>
            <w:tcW w:w="750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1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80" w:type="dxa"/>
            <w:vAlign w:val="bottom"/>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7500" w:type="dxa"/>
            <w:vAlign w:val="bottom"/>
          </w:tcPr>
          <w:p>
            <w:pPr>
              <w:spacing w:after="0" w:line="183" w:lineRule="exact"/>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shd w:val="clear" w:color="auto" w:fill="DDDDDD"/>
          </w:tcPr>
          <w:p>
            <w:pPr>
              <w:jc w:val="right"/>
              <w:spacing w:after="0" w:line="183" w:lineRule="exact"/>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8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164</w:t>
            </w:r>
          </w:p>
        </w:tc>
        <w:tc>
          <w:tcPr>
            <w:tcW w:w="0" w:type="dxa"/>
            <w:vAlign w:val="bottom"/>
          </w:tcPr>
          <w:p>
            <w:pPr>
              <w:spacing w:after="0"/>
              <w:rPr>
                <w:sz w:val="1"/>
                <w:szCs w:val="1"/>
                <w:color w:val="auto"/>
              </w:rPr>
            </w:pPr>
          </w:p>
        </w:tc>
      </w:tr>
      <w:tr>
        <w:trPr>
          <w:trHeight w:val="221"/>
        </w:trPr>
        <w:tc>
          <w:tcPr>
            <w:tcW w:w="7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attributable to common shareholders</w:t>
            </w: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shd w:val="clear" w:color="auto" w:fill="DDDDDD"/>
          </w:tcPr>
          <w:p>
            <w:pPr>
              <w:jc w:val="right"/>
              <w:ind w:right="30"/>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424"/>
        </w:trPr>
        <w:tc>
          <w:tcPr>
            <w:tcW w:w="7500" w:type="dxa"/>
            <w:vAlign w:val="bottom"/>
          </w:tcPr>
          <w:p>
            <w:pPr>
              <w:spacing w:after="0"/>
              <w:rPr>
                <w:sz w:val="20"/>
                <w:szCs w:val="20"/>
                <w:color w:val="auto"/>
              </w:rPr>
            </w:pPr>
            <w:r>
              <w:rPr>
                <w:rFonts w:ascii="Arial" w:cs="Arial" w:eastAsia="Arial" w:hAnsi="Arial"/>
                <w:sz w:val="18"/>
                <w:szCs w:val="18"/>
                <w:b w:val="1"/>
                <w:bCs w:val="1"/>
                <w:color w:val="auto"/>
              </w:rPr>
              <w:t>Summarized Combined Statements of Financial Position</w:t>
            </w:r>
          </w:p>
        </w:tc>
        <w:tc>
          <w:tcPr>
            <w:tcW w:w="100" w:type="dxa"/>
            <w:vAlign w:val="bottom"/>
          </w:tcPr>
          <w:p>
            <w:pPr>
              <w:spacing w:after="0"/>
              <w:rPr>
                <w:sz w:val="24"/>
                <w:szCs w:val="24"/>
                <w:color w:val="auto"/>
              </w:rPr>
            </w:pPr>
          </w:p>
        </w:tc>
        <w:tc>
          <w:tcPr>
            <w:tcW w:w="2360" w:type="dxa"/>
            <w:vAlign w:val="bottom"/>
            <w:gridSpan w:val="2"/>
            <w:vMerge w:val="restart"/>
          </w:tcPr>
          <w:p>
            <w:pPr>
              <w:ind w:left="740"/>
              <w:spacing w:after="0"/>
              <w:rPr>
                <w:sz w:val="20"/>
                <w:szCs w:val="20"/>
                <w:color w:val="auto"/>
              </w:rPr>
            </w:pPr>
            <w:r>
              <w:rPr>
                <w:rFonts w:ascii="Arial" w:cs="Arial" w:eastAsia="Arial" w:hAnsi="Arial"/>
                <w:sz w:val="18"/>
                <w:szCs w:val="18"/>
                <w:b w:val="1"/>
                <w:bCs w:val="1"/>
                <w:color w:val="auto"/>
              </w:rPr>
              <w:t>March 31,</w:t>
            </w:r>
          </w:p>
        </w:tc>
        <w:tc>
          <w:tcPr>
            <w:tcW w:w="128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December 31,</w:t>
            </w:r>
          </w:p>
        </w:tc>
        <w:tc>
          <w:tcPr>
            <w:tcW w:w="0" w:type="dxa"/>
            <w:vAlign w:val="bottom"/>
          </w:tcPr>
          <w:p>
            <w:pPr>
              <w:spacing w:after="0"/>
              <w:rPr>
                <w:sz w:val="1"/>
                <w:szCs w:val="1"/>
                <w:color w:val="auto"/>
              </w:rPr>
            </w:pPr>
          </w:p>
        </w:tc>
      </w:tr>
      <w:tr>
        <w:trPr>
          <w:trHeight w:val="131"/>
        </w:trPr>
        <w:tc>
          <w:tcPr>
            <w:tcW w:w="7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60" w:type="dxa"/>
            <w:vAlign w:val="bottom"/>
            <w:gridSpan w:val="2"/>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75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2026</w:t>
            </w: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15"/>
        </w:trPr>
        <w:tc>
          <w:tcPr>
            <w:tcW w:w="7500" w:type="dxa"/>
            <w:vAlign w:val="bottom"/>
          </w:tcPr>
          <w:p>
            <w:pPr>
              <w:spacing w:after="0" w:line="115" w:lineRule="exact"/>
              <w:rPr>
                <w:sz w:val="20"/>
                <w:szCs w:val="20"/>
                <w:color w:val="auto"/>
              </w:rPr>
            </w:pPr>
            <w:r>
              <w:rPr>
                <w:rFonts w:ascii="Arial" w:cs="Arial" w:eastAsia="Arial" w:hAnsi="Arial"/>
                <w:sz w:val="13"/>
                <w:szCs w:val="13"/>
                <w:i w:val="1"/>
                <w:iCs w:val="1"/>
                <w:color w:val="auto"/>
              </w:rPr>
              <w:t>(millions of Canadian dollars)</w:t>
            </w:r>
          </w:p>
        </w:tc>
        <w:tc>
          <w:tcPr>
            <w:tcW w:w="100" w:type="dxa"/>
            <w:vAlign w:val="bottom"/>
            <w:shd w:val="clear" w:color="auto" w:fill="DDDDDD"/>
          </w:tcPr>
          <w:p>
            <w:pPr>
              <w:spacing w:after="0"/>
              <w:rPr>
                <w:sz w:val="10"/>
                <w:szCs w:val="10"/>
                <w:color w:val="auto"/>
              </w:rPr>
            </w:pPr>
          </w:p>
        </w:tc>
        <w:tc>
          <w:tcPr>
            <w:tcW w:w="1740" w:type="dxa"/>
            <w:vAlign w:val="bottom"/>
            <w:shd w:val="clear" w:color="auto" w:fill="DDDDDD"/>
          </w:tcPr>
          <w:p>
            <w:pPr>
              <w:spacing w:after="0"/>
              <w:rPr>
                <w:sz w:val="10"/>
                <w:szCs w:val="10"/>
                <w:color w:val="auto"/>
              </w:rPr>
            </w:pPr>
          </w:p>
        </w:tc>
        <w:tc>
          <w:tcPr>
            <w:tcW w:w="6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7500" w:type="dxa"/>
            <w:vAlign w:val="bottom"/>
          </w:tcPr>
          <w:p>
            <w:pPr>
              <w:spacing w:after="0" w:line="183"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DDDDDD"/>
          </w:tcPr>
          <w:p>
            <w:pPr>
              <w:spacing w:after="0"/>
              <w:rPr>
                <w:sz w:val="15"/>
                <w:szCs w:val="15"/>
                <w:color w:val="auto"/>
              </w:rPr>
            </w:pPr>
          </w:p>
        </w:tc>
        <w:tc>
          <w:tcPr>
            <w:tcW w:w="1740" w:type="dxa"/>
            <w:vAlign w:val="bottom"/>
            <w:shd w:val="clear" w:color="auto" w:fill="DDDDDD"/>
          </w:tcPr>
          <w:p>
            <w:pPr>
              <w:jc w:val="right"/>
              <w:ind w:right="30"/>
              <w:spacing w:after="0" w:line="183" w:lineRule="exact"/>
              <w:rPr>
                <w:sz w:val="20"/>
                <w:szCs w:val="20"/>
                <w:color w:val="auto"/>
              </w:rPr>
            </w:pPr>
            <w:r>
              <w:rPr>
                <w:rFonts w:ascii="Arial" w:cs="Arial" w:eastAsia="Arial" w:hAnsi="Arial"/>
                <w:sz w:val="18"/>
                <w:szCs w:val="18"/>
                <w:b w:val="1"/>
                <w:bCs w:val="1"/>
                <w:color w:val="auto"/>
              </w:rPr>
              <w:t>930</w:t>
            </w:r>
          </w:p>
        </w:tc>
        <w:tc>
          <w:tcPr>
            <w:tcW w:w="620" w:type="dxa"/>
            <w:vAlign w:val="bottom"/>
          </w:tcPr>
          <w:p>
            <w:pPr>
              <w:spacing w:after="0"/>
              <w:rPr>
                <w:sz w:val="15"/>
                <w:szCs w:val="15"/>
                <w:color w:val="auto"/>
              </w:rPr>
            </w:pPr>
          </w:p>
        </w:tc>
        <w:tc>
          <w:tcPr>
            <w:tcW w:w="1280" w:type="dxa"/>
            <w:vAlign w:val="bottom"/>
          </w:tcPr>
          <w:p>
            <w:pPr>
              <w:jc w:val="right"/>
              <w:ind w:right="50"/>
              <w:spacing w:after="0" w:line="183" w:lineRule="exact"/>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8"/>
                <w:szCs w:val="18"/>
                <w:color w:val="auto"/>
              </w:rPr>
              <w:t>Accounts receivable from affiliates</w:t>
            </w:r>
          </w:p>
        </w:tc>
        <w:tc>
          <w:tcPr>
            <w:tcW w:w="100" w:type="dxa"/>
            <w:vAlign w:val="bottom"/>
            <w:shd w:val="clear" w:color="auto" w:fill="DDDDDD"/>
          </w:tcPr>
          <w:p>
            <w:pPr>
              <w:spacing w:after="0"/>
              <w:rPr>
                <w:sz w:val="16"/>
                <w:szCs w:val="16"/>
                <w:color w:val="auto"/>
              </w:rPr>
            </w:pPr>
          </w:p>
        </w:tc>
        <w:tc>
          <w:tcPr>
            <w:tcW w:w="174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4,321</w:t>
            </w:r>
          </w:p>
        </w:tc>
        <w:tc>
          <w:tcPr>
            <w:tcW w:w="620" w:type="dxa"/>
            <w:vAlign w:val="bottom"/>
          </w:tcPr>
          <w:p>
            <w:pPr>
              <w:spacing w:after="0"/>
              <w:rPr>
                <w:sz w:val="16"/>
                <w:szCs w:val="16"/>
                <w:color w:val="auto"/>
              </w:rPr>
            </w:pPr>
          </w:p>
        </w:tc>
        <w:tc>
          <w:tcPr>
            <w:tcW w:w="12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8"/>
                <w:szCs w:val="18"/>
                <w:color w:val="auto"/>
              </w:rPr>
              <w:t>Short-term loans receivable from affiliates</w:t>
            </w:r>
          </w:p>
        </w:tc>
        <w:tc>
          <w:tcPr>
            <w:tcW w:w="100" w:type="dxa"/>
            <w:vAlign w:val="bottom"/>
            <w:shd w:val="clear" w:color="auto" w:fill="DDDDDD"/>
          </w:tcPr>
          <w:p>
            <w:pPr>
              <w:spacing w:after="0"/>
              <w:rPr>
                <w:sz w:val="16"/>
                <w:szCs w:val="16"/>
                <w:color w:val="auto"/>
              </w:rPr>
            </w:pPr>
          </w:p>
        </w:tc>
        <w:tc>
          <w:tcPr>
            <w:tcW w:w="174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6,317</w:t>
            </w:r>
          </w:p>
        </w:tc>
        <w:tc>
          <w:tcPr>
            <w:tcW w:w="620" w:type="dxa"/>
            <w:vAlign w:val="bottom"/>
          </w:tcPr>
          <w:p>
            <w:pPr>
              <w:spacing w:after="0"/>
              <w:rPr>
                <w:sz w:val="16"/>
                <w:szCs w:val="16"/>
                <w:color w:val="auto"/>
              </w:rPr>
            </w:pPr>
          </w:p>
        </w:tc>
        <w:tc>
          <w:tcPr>
            <w:tcW w:w="12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DDDDDD"/>
          </w:tcPr>
          <w:p>
            <w:pPr>
              <w:spacing w:after="0"/>
              <w:rPr>
                <w:sz w:val="16"/>
                <w:szCs w:val="16"/>
                <w:color w:val="auto"/>
              </w:rPr>
            </w:pPr>
          </w:p>
        </w:tc>
        <w:tc>
          <w:tcPr>
            <w:tcW w:w="174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392</w:t>
            </w:r>
          </w:p>
        </w:tc>
        <w:tc>
          <w:tcPr>
            <w:tcW w:w="620" w:type="dxa"/>
            <w:vAlign w:val="bottom"/>
          </w:tcPr>
          <w:p>
            <w:pPr>
              <w:spacing w:after="0"/>
              <w:rPr>
                <w:sz w:val="16"/>
                <w:szCs w:val="16"/>
                <w:color w:val="auto"/>
              </w:rPr>
            </w:pPr>
          </w:p>
        </w:tc>
        <w:tc>
          <w:tcPr>
            <w:tcW w:w="12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8"/>
                <w:szCs w:val="18"/>
                <w:color w:val="auto"/>
              </w:rPr>
              <w:t>Long-term loans receivable from affiliates</w:t>
            </w:r>
          </w:p>
        </w:tc>
        <w:tc>
          <w:tcPr>
            <w:tcW w:w="100" w:type="dxa"/>
            <w:vAlign w:val="bottom"/>
            <w:shd w:val="clear" w:color="auto" w:fill="DDDDDD"/>
          </w:tcPr>
          <w:p>
            <w:pPr>
              <w:spacing w:after="0"/>
              <w:rPr>
                <w:sz w:val="16"/>
                <w:szCs w:val="16"/>
                <w:color w:val="auto"/>
              </w:rPr>
            </w:pPr>
          </w:p>
        </w:tc>
        <w:tc>
          <w:tcPr>
            <w:tcW w:w="174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48,748</w:t>
            </w:r>
          </w:p>
        </w:tc>
        <w:tc>
          <w:tcPr>
            <w:tcW w:w="620" w:type="dxa"/>
            <w:vAlign w:val="bottom"/>
          </w:tcPr>
          <w:p>
            <w:pPr>
              <w:spacing w:after="0"/>
              <w:rPr>
                <w:sz w:val="16"/>
                <w:szCs w:val="16"/>
                <w:color w:val="auto"/>
              </w:rPr>
            </w:pPr>
          </w:p>
        </w:tc>
        <w:tc>
          <w:tcPr>
            <w:tcW w:w="12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46,858</w:t>
            </w: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DDDDDD"/>
          </w:tcPr>
          <w:p>
            <w:pPr>
              <w:spacing w:after="0"/>
              <w:rPr>
                <w:sz w:val="16"/>
                <w:szCs w:val="16"/>
                <w:color w:val="auto"/>
              </w:rPr>
            </w:pPr>
          </w:p>
        </w:tc>
        <w:tc>
          <w:tcPr>
            <w:tcW w:w="174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2,149</w:t>
            </w:r>
          </w:p>
        </w:tc>
        <w:tc>
          <w:tcPr>
            <w:tcW w:w="620" w:type="dxa"/>
            <w:vAlign w:val="bottom"/>
          </w:tcPr>
          <w:p>
            <w:pPr>
              <w:spacing w:after="0"/>
              <w:rPr>
                <w:sz w:val="16"/>
                <w:szCs w:val="16"/>
                <w:color w:val="auto"/>
              </w:rPr>
            </w:pPr>
          </w:p>
        </w:tc>
        <w:tc>
          <w:tcPr>
            <w:tcW w:w="12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8"/>
                <w:szCs w:val="18"/>
                <w:color w:val="auto"/>
              </w:rPr>
              <w:t>Accounts payable to affiliates</w:t>
            </w:r>
          </w:p>
        </w:tc>
        <w:tc>
          <w:tcPr>
            <w:tcW w:w="100" w:type="dxa"/>
            <w:vAlign w:val="bottom"/>
            <w:shd w:val="clear" w:color="auto" w:fill="DDDDDD"/>
          </w:tcPr>
          <w:p>
            <w:pPr>
              <w:spacing w:after="0"/>
              <w:rPr>
                <w:sz w:val="16"/>
                <w:szCs w:val="16"/>
                <w:color w:val="auto"/>
              </w:rPr>
            </w:pPr>
          </w:p>
        </w:tc>
        <w:tc>
          <w:tcPr>
            <w:tcW w:w="174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2,239</w:t>
            </w:r>
          </w:p>
        </w:tc>
        <w:tc>
          <w:tcPr>
            <w:tcW w:w="620" w:type="dxa"/>
            <w:vAlign w:val="bottom"/>
          </w:tcPr>
          <w:p>
            <w:pPr>
              <w:spacing w:after="0"/>
              <w:rPr>
                <w:sz w:val="16"/>
                <w:szCs w:val="16"/>
                <w:color w:val="auto"/>
              </w:rPr>
            </w:pPr>
          </w:p>
        </w:tc>
        <w:tc>
          <w:tcPr>
            <w:tcW w:w="12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8"/>
                <w:szCs w:val="18"/>
                <w:color w:val="auto"/>
              </w:rPr>
              <w:t>Short-term loans payable to affiliates</w:t>
            </w:r>
          </w:p>
        </w:tc>
        <w:tc>
          <w:tcPr>
            <w:tcW w:w="100" w:type="dxa"/>
            <w:vAlign w:val="bottom"/>
            <w:shd w:val="clear" w:color="auto" w:fill="DDDDDD"/>
          </w:tcPr>
          <w:p>
            <w:pPr>
              <w:spacing w:after="0"/>
              <w:rPr>
                <w:sz w:val="16"/>
                <w:szCs w:val="16"/>
                <w:color w:val="auto"/>
              </w:rPr>
            </w:pPr>
          </w:p>
        </w:tc>
        <w:tc>
          <w:tcPr>
            <w:tcW w:w="174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2,319</w:t>
            </w:r>
          </w:p>
        </w:tc>
        <w:tc>
          <w:tcPr>
            <w:tcW w:w="620" w:type="dxa"/>
            <w:vAlign w:val="bottom"/>
          </w:tcPr>
          <w:p>
            <w:pPr>
              <w:spacing w:after="0"/>
              <w:rPr>
                <w:sz w:val="16"/>
                <w:szCs w:val="16"/>
                <w:color w:val="auto"/>
              </w:rPr>
            </w:pPr>
          </w:p>
        </w:tc>
        <w:tc>
          <w:tcPr>
            <w:tcW w:w="12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8"/>
                <w:szCs w:val="18"/>
                <w:color w:val="auto"/>
              </w:rPr>
              <w:t>Trade payables and accrued liabilities</w:t>
            </w:r>
          </w:p>
        </w:tc>
        <w:tc>
          <w:tcPr>
            <w:tcW w:w="100" w:type="dxa"/>
            <w:vAlign w:val="bottom"/>
            <w:shd w:val="clear" w:color="auto" w:fill="DDDDDD"/>
          </w:tcPr>
          <w:p>
            <w:pPr>
              <w:spacing w:after="0"/>
              <w:rPr>
                <w:sz w:val="16"/>
                <w:szCs w:val="16"/>
                <w:color w:val="auto"/>
              </w:rPr>
            </w:pPr>
          </w:p>
        </w:tc>
        <w:tc>
          <w:tcPr>
            <w:tcW w:w="174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304</w:t>
            </w:r>
          </w:p>
        </w:tc>
        <w:tc>
          <w:tcPr>
            <w:tcW w:w="620" w:type="dxa"/>
            <w:vAlign w:val="bottom"/>
          </w:tcPr>
          <w:p>
            <w:pPr>
              <w:spacing w:after="0"/>
              <w:rPr>
                <w:sz w:val="16"/>
                <w:szCs w:val="16"/>
                <w:color w:val="auto"/>
              </w:rPr>
            </w:pPr>
          </w:p>
        </w:tc>
        <w:tc>
          <w:tcPr>
            <w:tcW w:w="12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DDDDDD"/>
          </w:tcPr>
          <w:p>
            <w:pPr>
              <w:spacing w:after="0"/>
              <w:rPr>
                <w:sz w:val="16"/>
                <w:szCs w:val="16"/>
                <w:color w:val="auto"/>
              </w:rPr>
            </w:pPr>
          </w:p>
        </w:tc>
        <w:tc>
          <w:tcPr>
            <w:tcW w:w="174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5,078</w:t>
            </w:r>
          </w:p>
        </w:tc>
        <w:tc>
          <w:tcPr>
            <w:tcW w:w="620" w:type="dxa"/>
            <w:vAlign w:val="bottom"/>
          </w:tcPr>
          <w:p>
            <w:pPr>
              <w:spacing w:after="0"/>
              <w:rPr>
                <w:sz w:val="16"/>
                <w:szCs w:val="16"/>
                <w:color w:val="auto"/>
              </w:rPr>
            </w:pPr>
          </w:p>
        </w:tc>
        <w:tc>
          <w:tcPr>
            <w:tcW w:w="12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6,990</w:t>
            </w: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8"/>
                <w:szCs w:val="18"/>
                <w:color w:val="auto"/>
              </w:rPr>
              <w:t>Long-term loans payable to affiliates</w:t>
            </w:r>
          </w:p>
        </w:tc>
        <w:tc>
          <w:tcPr>
            <w:tcW w:w="100" w:type="dxa"/>
            <w:vAlign w:val="bottom"/>
            <w:shd w:val="clear" w:color="auto" w:fill="DDDDDD"/>
          </w:tcPr>
          <w:p>
            <w:pPr>
              <w:spacing w:after="0"/>
              <w:rPr>
                <w:sz w:val="16"/>
                <w:szCs w:val="16"/>
                <w:color w:val="auto"/>
              </w:rPr>
            </w:pPr>
          </w:p>
        </w:tc>
        <w:tc>
          <w:tcPr>
            <w:tcW w:w="1740" w:type="dxa"/>
            <w:vAlign w:val="bottom"/>
            <w:shd w:val="clear" w:color="auto" w:fill="DDDDDD"/>
          </w:tcPr>
          <w:p>
            <w:pPr>
              <w:jc w:val="right"/>
              <w:ind w:right="30"/>
              <w:spacing w:after="0" w:line="189" w:lineRule="exact"/>
              <w:rPr>
                <w:sz w:val="20"/>
                <w:szCs w:val="20"/>
                <w:color w:val="auto"/>
              </w:rPr>
            </w:pPr>
            <w:r>
              <w:rPr>
                <w:rFonts w:ascii="Arial" w:cs="Arial" w:eastAsia="Arial" w:hAnsi="Arial"/>
                <w:sz w:val="18"/>
                <w:szCs w:val="18"/>
                <w:b w:val="1"/>
                <w:bCs w:val="1"/>
                <w:color w:val="auto"/>
              </w:rPr>
              <w:t>34,991</w:t>
            </w:r>
          </w:p>
        </w:tc>
        <w:tc>
          <w:tcPr>
            <w:tcW w:w="620" w:type="dxa"/>
            <w:vAlign w:val="bottom"/>
          </w:tcPr>
          <w:p>
            <w:pPr>
              <w:spacing w:after="0"/>
              <w:rPr>
                <w:sz w:val="16"/>
                <w:szCs w:val="16"/>
                <w:color w:val="auto"/>
              </w:rPr>
            </w:pPr>
          </w:p>
        </w:tc>
        <w:tc>
          <w:tcPr>
            <w:tcW w:w="12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34,488</w:t>
            </w:r>
          </w:p>
        </w:tc>
        <w:tc>
          <w:tcPr>
            <w:tcW w:w="0" w:type="dxa"/>
            <w:vAlign w:val="bottom"/>
          </w:tcPr>
          <w:p>
            <w:pPr>
              <w:spacing w:after="0"/>
              <w:rPr>
                <w:sz w:val="1"/>
                <w:szCs w:val="1"/>
                <w:color w:val="auto"/>
              </w:rPr>
            </w:pPr>
          </w:p>
        </w:tc>
      </w:tr>
      <w:tr>
        <w:trPr>
          <w:trHeight w:val="221"/>
        </w:trPr>
        <w:tc>
          <w:tcPr>
            <w:tcW w:w="7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DDDDDD"/>
          </w:tcPr>
          <w:p>
            <w:pPr>
              <w:spacing w:after="0"/>
              <w:rPr>
                <w:sz w:val="19"/>
                <w:szCs w:val="19"/>
                <w:color w:val="auto"/>
              </w:rPr>
            </w:pPr>
          </w:p>
        </w:tc>
        <w:tc>
          <w:tcPr>
            <w:tcW w:w="1740" w:type="dxa"/>
            <w:vAlign w:val="bottom"/>
            <w:tcBorders>
              <w:bottom w:val="single" w:sz="8" w:color="auto"/>
            </w:tcBorders>
            <w:shd w:val="clear" w:color="auto" w:fill="DDDDDD"/>
          </w:tcPr>
          <w:p>
            <w:pPr>
              <w:jc w:val="right"/>
              <w:ind w:right="30"/>
              <w:spacing w:after="0"/>
              <w:rPr>
                <w:sz w:val="20"/>
                <w:szCs w:val="20"/>
                <w:color w:val="auto"/>
              </w:rPr>
            </w:pPr>
            <w:r>
              <w:rPr>
                <w:rFonts w:ascii="Arial" w:cs="Arial" w:eastAsia="Arial" w:hAnsi="Arial"/>
                <w:sz w:val="18"/>
                <w:szCs w:val="18"/>
                <w:b w:val="1"/>
                <w:bCs w:val="1"/>
                <w:color w:val="auto"/>
              </w:rPr>
              <w:t>72,068</w:t>
            </w: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67,004</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Guaranteed Enbridge Notes and the Guaranteed Partnership Notes are structurally subordinated to the indebtedness of the Subsidiary Non-Guarantors in respect of the assets of those Subsidiary Non-Guarantors.</w:t>
      </w:r>
    </w:p>
    <w:p>
      <w:pPr>
        <w:spacing w:after="0" w:line="140" w:lineRule="exact"/>
        <w:rPr>
          <w:sz w:val="20"/>
          <w:szCs w:val="20"/>
          <w:color w:val="auto"/>
        </w:rPr>
      </w:pPr>
    </w:p>
    <w:p>
      <w:pPr>
        <w:jc w:val="both"/>
        <w:ind w:right="740"/>
        <w:spacing w:after="0" w:line="261" w:lineRule="auto"/>
        <w:rPr>
          <w:sz w:val="20"/>
          <w:szCs w:val="20"/>
          <w:color w:val="auto"/>
        </w:rPr>
      </w:pPr>
      <w:r>
        <w:rPr>
          <w:rFonts w:ascii="Arial" w:cs="Arial" w:eastAsia="Arial" w:hAnsi="Arial"/>
          <w:sz w:val="18"/>
          <w:szCs w:val="18"/>
          <w:color w:val="auto"/>
        </w:rPr>
        <w:t>Under US bankruptcy law and comparable provisions of state fraudulent transfer laws, a guarantee can be voided, or claims may be subordinated to all other debts of that guarantor if, among other things, the guarantor, at the time the indebtedness evidenced by its guarantee or, in some states, when payments become due under the guarantee:</w:t>
      </w:r>
    </w:p>
    <w:p>
      <w:pPr>
        <w:spacing w:after="0" w:line="162" w:lineRule="exact"/>
        <w:rPr>
          <w:sz w:val="20"/>
          <w:szCs w:val="20"/>
          <w:color w:val="auto"/>
        </w:rPr>
      </w:pPr>
    </w:p>
    <w:p>
      <w:pPr>
        <w:ind w:left="380" w:right="220" w:hanging="178"/>
        <w:spacing w:after="0" w:line="244" w:lineRule="auto"/>
        <w:tabs>
          <w:tab w:leader="none" w:pos="3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received less than reasonably equivalent value or fair consideration for the incurrence of the guarantee and was insolvent or rendered insolvent by reason of such incurrence;</w:t>
      </w:r>
    </w:p>
    <w:p>
      <w:pPr>
        <w:spacing w:after="0" w:line="1" w:lineRule="exact"/>
        <w:rPr>
          <w:rFonts w:ascii="Times New Roman" w:cs="Times New Roman" w:eastAsia="Times New Roman" w:hAnsi="Times New Roman"/>
          <w:sz w:val="18"/>
          <w:szCs w:val="18"/>
          <w:color w:val="auto"/>
        </w:rPr>
      </w:pPr>
    </w:p>
    <w:p>
      <w:pPr>
        <w:ind w:left="380" w:hanging="178"/>
        <w:spacing w:after="0"/>
        <w:tabs>
          <w:tab w:leader="none" w:pos="3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was engaged in a business or transaction for which the guarantor's remaining assets constituted unreasonably small capital; or</w:t>
      </w:r>
    </w:p>
    <w:p>
      <w:pPr>
        <w:spacing w:after="0" w:line="8" w:lineRule="exact"/>
        <w:rPr>
          <w:rFonts w:ascii="Times New Roman" w:cs="Times New Roman" w:eastAsia="Times New Roman" w:hAnsi="Times New Roman"/>
          <w:sz w:val="18"/>
          <w:szCs w:val="18"/>
          <w:color w:val="auto"/>
        </w:rPr>
      </w:pPr>
    </w:p>
    <w:p>
      <w:pPr>
        <w:ind w:left="380" w:hanging="178"/>
        <w:spacing w:after="0"/>
        <w:tabs>
          <w:tab w:leader="none" w:pos="3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intended to incur, or believed that it would incur, debts beyond its ability to pay those debts as they mature.</w:t>
      </w:r>
    </w:p>
    <w:p>
      <w:pPr>
        <w:spacing w:after="0" w:line="17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guarantees of the Guaranteed Enbridge Notes contain provisions to limit the maximum amount of liability that the Partnerships could incur without causing the incurrence of obligations under the guarantee to be a fraudulent conveyance or fraudulent transfer under US federal or state law.</w:t>
      </w:r>
    </w:p>
    <w:p>
      <w:pPr>
        <w:spacing w:after="0" w:line="162"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Each of the Partnerships is entitled to a right of contribution from the other Partnership for 50% of all payments, damages and expenses incurred by that Partnership in discharging its obligations under the guarantees for the Guaranteed Enbridge Notes.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ind w:right="340"/>
        <w:spacing w:after="0" w:line="261" w:lineRule="auto"/>
        <w:rPr>
          <w:sz w:val="20"/>
          <w:szCs w:val="20"/>
          <w:color w:val="auto"/>
        </w:rPr>
      </w:pPr>
      <w:r>
        <w:rPr>
          <w:rFonts w:ascii="Arial" w:cs="Arial" w:eastAsia="Arial" w:hAnsi="Arial"/>
          <w:sz w:val="18"/>
          <w:szCs w:val="18"/>
          <w:color w:val="auto"/>
        </w:rPr>
        <w:t>Under the terms of the guarantee agreement and applicable supplemental indentures, the guarantees of either of the Partnerships of any Guaranteed Enbridge Notes will be unconditionally released and discharged automatically upon the occurrence of any of the following events:</w:t>
      </w:r>
    </w:p>
    <w:p>
      <w:pPr>
        <w:spacing w:after="0" w:line="148" w:lineRule="exact"/>
        <w:rPr>
          <w:sz w:val="20"/>
          <w:szCs w:val="20"/>
          <w:color w:val="auto"/>
        </w:rPr>
      </w:pPr>
    </w:p>
    <w:p>
      <w:pPr>
        <w:ind w:left="380" w:right="560" w:hanging="178"/>
        <w:spacing w:after="0" w:line="246" w:lineRule="auto"/>
        <w:tabs>
          <w:tab w:leader="none" w:pos="3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any direct or indirect sale, exchange or transfer, whether by way of merger, sale or transfer of equity interests or otherwise, to any person that is not an affiliate of Enbridge, of any of Enbridge’s direct or indirect limited partnership or other equity interests in that Partnership as a result of which the Partnership ceases to be a consolidated subsidiary of Enbridge;</w:t>
      </w:r>
    </w:p>
    <w:p>
      <w:pPr>
        <w:spacing w:after="0" w:line="1" w:lineRule="exact"/>
        <w:rPr>
          <w:rFonts w:ascii="Times New Roman" w:cs="Times New Roman" w:eastAsia="Times New Roman" w:hAnsi="Times New Roman"/>
          <w:sz w:val="18"/>
          <w:szCs w:val="18"/>
          <w:color w:val="auto"/>
        </w:rPr>
      </w:pPr>
    </w:p>
    <w:p>
      <w:pPr>
        <w:ind w:left="380" w:hanging="178"/>
        <w:spacing w:after="0"/>
        <w:tabs>
          <w:tab w:leader="none" w:pos="3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merger of that Partnership into Enbridge or the other Partnership or the liquidation and dissolution of that Partnership;</w:t>
      </w:r>
    </w:p>
    <w:p>
      <w:pPr>
        <w:spacing w:after="0" w:line="8" w:lineRule="exact"/>
        <w:rPr>
          <w:rFonts w:ascii="Times New Roman" w:cs="Times New Roman" w:eastAsia="Times New Roman" w:hAnsi="Times New Roman"/>
          <w:sz w:val="18"/>
          <w:szCs w:val="18"/>
          <w:color w:val="auto"/>
        </w:rPr>
      </w:pPr>
    </w:p>
    <w:p>
      <w:pPr>
        <w:ind w:left="380" w:right="200" w:hanging="178"/>
        <w:spacing w:after="0" w:line="234" w:lineRule="auto"/>
        <w:tabs>
          <w:tab w:leader="none" w:pos="3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repayment in full or discharge or defeasance of those Guaranteed Enbridge Notes, as contemplated by the applicable indenture or guarantee agreement;</w:t>
      </w:r>
    </w:p>
    <w:p>
      <w:pPr>
        <w:ind w:left="380" w:hanging="178"/>
        <w:spacing w:after="0" w:line="233" w:lineRule="auto"/>
        <w:tabs>
          <w:tab w:leader="none" w:pos="3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with respect to EEP, the repayment in full or discharge or defeasance of each of the consenting EEP notes listed above;</w:t>
      </w:r>
    </w:p>
    <w:p>
      <w:pPr>
        <w:ind w:left="380" w:hanging="178"/>
        <w:spacing w:after="0"/>
        <w:tabs>
          <w:tab w:leader="none" w:pos="3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with respect to SEP, the repayment in full or discharge or defeasance of each of the consenting SEP notes listed above; or</w:t>
      </w:r>
    </w:p>
    <w:p>
      <w:pPr>
        <w:spacing w:after="0" w:line="8" w:lineRule="exact"/>
        <w:rPr>
          <w:rFonts w:ascii="Times New Roman" w:cs="Times New Roman" w:eastAsia="Times New Roman" w:hAnsi="Times New Roman"/>
          <w:sz w:val="18"/>
          <w:szCs w:val="18"/>
          <w:color w:val="auto"/>
        </w:rPr>
      </w:pPr>
    </w:p>
    <w:p>
      <w:pPr>
        <w:ind w:left="380" w:right="240" w:hanging="178"/>
        <w:spacing w:after="0" w:line="249" w:lineRule="auto"/>
        <w:tabs>
          <w:tab w:leader="none" w:pos="3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with respect to any series of Guaranteed Enbridge Notes, with the consent of holders of at least a majority of the outstanding principal amount of that series of Guaranteed Enbridge Notes.</w:t>
      </w:r>
    </w:p>
    <w:p>
      <w:pPr>
        <w:spacing w:after="0" w:line="17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guarantee obligations of Enbridge will terminate with respect to any series of Guaranteed Partnership Notes if that series is discharged or defeased.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Partnerships also guarantee the obligations of Enbridge under its existing credit facilities.</w:t>
      </w:r>
    </w:p>
    <w:p>
      <w:pPr>
        <w:spacing w:after="0" w:line="18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LEGAL AND OTHER UPDATES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 5 EASEMENT (BAD RIVER BAND)</w:t>
      </w:r>
    </w:p>
    <w:p>
      <w:pPr>
        <w:spacing w:after="0" w:line="2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This is a federal lawsuit in the US District Court for the Western District of Wisconsin (District Court) initiated by the Bad River Band of the Lake Superior Tribe of Chippewa Indians (the Band) in July 2019. The case concerns Enbridge’s continued operation of the Line 5 pipeline and right-of-way across the Bad River Reservation (the Reservation).</w:t>
      </w:r>
    </w:p>
    <w:p>
      <w:pPr>
        <w:spacing w:after="0" w:line="179" w:lineRule="exact"/>
        <w:rPr>
          <w:sz w:val="20"/>
          <w:szCs w:val="20"/>
          <w:color w:val="auto"/>
        </w:rPr>
      </w:pPr>
    </w:p>
    <w:p>
      <w:pPr>
        <w:ind w:right="600"/>
        <w:spacing w:after="0" w:line="221" w:lineRule="exact"/>
        <w:rPr>
          <w:sz w:val="20"/>
          <w:szCs w:val="20"/>
          <w:color w:val="auto"/>
        </w:rPr>
      </w:pPr>
      <w:r>
        <w:rPr>
          <w:rFonts w:ascii="Arial" w:cs="Arial" w:eastAsia="Arial" w:hAnsi="Arial"/>
          <w:sz w:val="17"/>
          <w:szCs w:val="17"/>
          <w:color w:val="auto"/>
        </w:rPr>
        <w:t>The Band asserts claims in trespass and public nuisance and seeks an order prohibiting Enbridge from operating Line 5 across the Reservation, along with monetary compensation for past and ongoing use of Reservation lands. Enbridge disputes the availability of shutdown and removal remedies and asserts, among other things, that federal pipeline safety law preempts such relief, that continued operations do not present an imminent threat, and that treaty</w:t>
      </w:r>
      <w:r>
        <w:rPr>
          <w:rFonts w:ascii="MS PGothic" w:cs="MS PGothic" w:eastAsia="MS PGothic" w:hAnsi="MS PGothic"/>
          <w:sz w:val="17"/>
          <w:szCs w:val="17"/>
          <w:color w:val="auto"/>
        </w:rPr>
        <w:t>‑</w:t>
      </w:r>
      <w:r>
        <w:rPr>
          <w:rFonts w:ascii="Arial" w:cs="Arial" w:eastAsia="Arial" w:hAnsi="Arial"/>
          <w:sz w:val="17"/>
          <w:szCs w:val="17"/>
          <w:color w:val="auto"/>
        </w:rPr>
        <w:t>and foreign</w:t>
      </w:r>
      <w:r>
        <w:rPr>
          <w:rFonts w:ascii="MS PGothic" w:cs="MS PGothic" w:eastAsia="MS PGothic" w:hAnsi="MS PGothic"/>
          <w:sz w:val="17"/>
          <w:szCs w:val="17"/>
          <w:color w:val="auto"/>
        </w:rPr>
        <w:t>‑</w:t>
      </w:r>
      <w:r>
        <w:rPr>
          <w:rFonts w:ascii="Arial" w:cs="Arial" w:eastAsia="Arial" w:hAnsi="Arial"/>
          <w:sz w:val="17"/>
          <w:szCs w:val="17"/>
          <w:color w:val="auto"/>
        </w:rPr>
        <w:t>affairs considerations limit the remedies available.</w:t>
      </w:r>
    </w:p>
    <w:p>
      <w:pPr>
        <w:spacing w:after="0" w:line="15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August 2022, the Government of Canada released a statement formally invoking the dispute settlement provisions of the Agreement Between the US and Canada Concerning Transit Pipelines, 28 U.S.T. 7449 (1977) (1977 Transit Pipelines Treaty) in respect of this litigation, expressing its concerns about the uninterrupted transmission of hydrocarbons through Line 5.</w:t>
      </w:r>
    </w:p>
    <w:p>
      <w:pPr>
        <w:spacing w:after="0" w:line="169"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On September 7, 2022, the District Court issued a decision on cross-motions for summary judgment that resolved several claims and determined that Enbridge is in trespass on certain Reservation parcels, while declining to order an immediate shut-down or removal of the pipeline. A trial was held in October to November 2022 on the remaining issues, including nuisance, injunctive relief, and the appropriate monetary remedy for trespass.</w:t>
      </w:r>
    </w:p>
    <w:p>
      <w:pPr>
        <w:spacing w:after="0" w:line="157"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color w:val="auto"/>
        </w:rPr>
        <w:t>In June 2023, the District Court issued a final order awarding US$5.1 million as compensation for past trespass, requiring ongoing quarterly payments while Line 5 operates without valid rights-of-way, imposing monitoring and shutdown requirements, and ordering Line 5 to cease operating on any parcel lacking a valid right-of-way by June 16, 2026.</w:t>
      </w:r>
    </w:p>
    <w:p>
      <w:pPr>
        <w:spacing w:after="0" w:line="162"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Enbridge and the Band have filed a consolidated appeal and cross appeal in the US Court of Appeals for the Seventh Circuit (Seventh Circuit) addressing liability and remedies. Upon request by the Seventh</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ind w:right="20"/>
        <w:spacing w:after="0" w:line="271" w:lineRule="auto"/>
        <w:rPr>
          <w:sz w:val="20"/>
          <w:szCs w:val="20"/>
          <w:color w:val="auto"/>
        </w:rPr>
      </w:pPr>
      <w:r>
        <w:rPr>
          <w:rFonts w:ascii="Arial" w:cs="Arial" w:eastAsia="Arial" w:hAnsi="Arial"/>
          <w:sz w:val="18"/>
          <w:szCs w:val="18"/>
          <w:color w:val="auto"/>
        </w:rPr>
        <w:t>Circuit, the US Government filed a brief in the appeal as amicus curiae to address the effect of the 1977 Transit Pipelines Treaty. The District Court has stayed the June 2026 shutdown order pending the appellate decision by the Seventh Circuit, expected in 2026.</w:t>
      </w:r>
    </w:p>
    <w:p>
      <w:pPr>
        <w:spacing w:after="0" w:line="154" w:lineRule="exact"/>
        <w:rPr>
          <w:sz w:val="20"/>
          <w:szCs w:val="20"/>
          <w:color w:val="auto"/>
        </w:rPr>
      </w:pPr>
    </w:p>
    <w:p>
      <w:pPr>
        <w:ind w:right="4840"/>
        <w:spacing w:after="0" w:line="253" w:lineRule="auto"/>
        <w:rPr>
          <w:sz w:val="20"/>
          <w:szCs w:val="20"/>
          <w:color w:val="auto"/>
        </w:rPr>
      </w:pPr>
      <w:r>
        <w:rPr>
          <w:rFonts w:ascii="Arial" w:cs="Arial" w:eastAsia="Arial" w:hAnsi="Arial"/>
          <w:sz w:val="18"/>
          <w:szCs w:val="18"/>
          <w:b w:val="1"/>
          <w:bCs w:val="1"/>
          <w:color w:val="auto"/>
        </w:rPr>
        <w:t>MICHIGAN LINE 5 DUAL PIPELINES - STRAITS OF MACKINAC EASEMENT Michigan Attorney General Lawsuit</w:t>
      </w:r>
    </w:p>
    <w:p>
      <w:pPr>
        <w:ind w:right="60"/>
        <w:spacing w:after="0" w:line="242" w:lineRule="auto"/>
        <w:rPr>
          <w:sz w:val="20"/>
          <w:szCs w:val="20"/>
          <w:color w:val="auto"/>
        </w:rPr>
      </w:pPr>
      <w:r>
        <w:rPr>
          <w:rFonts w:ascii="Arial" w:cs="Arial" w:eastAsia="Arial" w:hAnsi="Arial"/>
          <w:sz w:val="18"/>
          <w:szCs w:val="18"/>
          <w:color w:val="auto"/>
        </w:rPr>
        <w:t>In 2019, the Michigan Attorney General initiated legal action in the Michigan Ingham County Circuit Court (Michigan Circuit Court) seeking to invalidate the 1953 easement that authorizes the operation of Enbridge's Line 5 pipeline in the Straits of Mackinac. The Michigan Attorney General's case was later removed to US federal court, as the federal court found the removal was proper.</w:t>
      </w:r>
    </w:p>
    <w:p>
      <w:pPr>
        <w:spacing w:after="0" w:line="17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June 2024, the US Court of Appeals for the Sixth Circuit (Sixth Circuit) ruled that the case should proceed in state court. Enbridge's request for a rehearing was denied in August 2024. Oral argument on long-standing cross motions for summary disposition was held in January 2025 in the Michigan Circuit Court. The case is stayed until the Sixth Circuit issues a decision in the pending appeal in the Enbridge Lawsuit discussed below.</w:t>
      </w:r>
    </w:p>
    <w:p>
      <w:pPr>
        <w:spacing w:after="0" w:line="15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Separately, in January 2025, Enbridge petitioned the US Supreme Court to review the Sixth Circuit's decision regarding the initial removal of the case to US federal court. The US Supreme Court granted the petition in June 2025. Oral argument was held on February 24, 2026. On April 22, 2026, the US Supreme Court issued its decision, ruling that the 30-day removal timeline is mandatory and there is no equitable tolling. The case will remain in Michigan Circuit Court.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Enbridge Lawsuit</w:t>
      </w:r>
    </w:p>
    <w:p>
      <w:pPr>
        <w:spacing w:after="0" w:line="14"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In November 2020, in response to the Governor of Michigan’s revocation of the 1953 easement that authorizes the operation of Enbridge’s Line 5 pipeline in the Straits of Mackinac, and her related lawsuit (which she later dismissed voluntarily when her case was removed to federal court), Enbridge filed a complaint in the US District Court in the Western District for Michigan (US District Court) seeking declaratory and injunctive relief to prevent the Governor of Michigan and Director of the Michigan Department of Natural Resources (Michigan State Officials) from interfering with the continued operation of Line 5. The Government of Canada has reiterated its support for the pipeline, emphasizing the relevance of the 1977 Transit Pipelines Treaty and the matter's importance to Canada.</w:t>
      </w:r>
    </w:p>
    <w:p>
      <w:pPr>
        <w:spacing w:after="0" w:line="16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January 2022, Michigan State Officials moved to dismiss the case, and Enbridge filed for summary judgment. In July 2024, the US District Court denied the state's motion to dismiss, prompting an immediate appeal to the Sixth Circuit. The case was stayed pending the outcome of the appeal. In April 2025, the Sixth Circuit affirmed the US District Court's ruling and a petition for rehearing en banc was denied in June 2025, following which the case was administratively transferred back to the US District Court and Michigan State Officials filed their Answer to Enbridge's complaint. Subsequently, the Michigan State Officials petitioned the US Supreme Court to review the Sixth Circuit’s decision affirming the US District Court’s denial of the Michigan State Officials’ motion to dismiss; the petition was denied on March 30, 2026.</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case management order was issued in July 2025, setting out a briefing schedule for Enbridge's summary judgment motion and the state's motion to abstain. In September 2025, the US filed a statement of interest in the case. Briefing concluded in October 2025 and oral argument was held in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November 2025.</w:t>
      </w:r>
    </w:p>
    <w:p>
      <w:pPr>
        <w:spacing w:after="0" w:line="18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December 2025, the US District Court entered judgment in Enbridge's favor and denied the Michigan State Officials motion to abstain or stay the federal action. In January 2026, the Michigan State Officials filed an appeal, and shortly thereafter in the Michigan Circuit Court, Enbridge and the Michigan Attorney General filed a stipulation to stay the Michigan Attorney General Lawsuit, pending the Sixth Circuit's decision. Briefing at the Sixth Circuit is scheduled to be completed in June 2026, followed by oral argument, with a decision expected later in 2026 or early 2027.</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OTHER LITIGATION</w:t>
      </w:r>
    </w:p>
    <w:p>
      <w:pPr>
        <w:spacing w:after="0" w:line="14"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We and our subsidiaries are subject to various other legal and regulatory actions and proceedings which arise in the normal course of business, including interventions in regulatory proceedings and challenges to regulatory approvals and permits. While the final outcome of such actions and proceedings cannot be predicted with certainty, management believes that the resolution of such actions and proceedings will not have a material impact on our consolidated financial position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CHANGES IN ACCOUNTING POLICIES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Part I. </w:t>
      </w:r>
      <w:r>
        <w:rPr>
          <w:rFonts w:ascii="Arial" w:cs="Arial" w:eastAsia="Arial" w:hAnsi="Arial"/>
          <w:sz w:val="18"/>
          <w:szCs w:val="18"/>
          <w:i w:val="1"/>
          <w:iCs w:val="1"/>
          <w:color w:val="auto"/>
        </w:rPr>
        <w:t>Item 1. Financial Statements - Note 2 - Changes in Accounting Policies.</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218" w:lineRule="exact"/>
        <w:rPr>
          <w:sz w:val="20"/>
          <w:szCs w:val="20"/>
          <w:color w:val="auto"/>
        </w:rPr>
      </w:pPr>
    </w:p>
    <w:p>
      <w:pPr>
        <w:ind w:right="120"/>
        <w:spacing w:after="0" w:line="301" w:lineRule="auto"/>
        <w:rPr>
          <w:sz w:val="20"/>
          <w:szCs w:val="20"/>
          <w:color w:val="auto"/>
        </w:rPr>
      </w:pPr>
      <w:r>
        <w:rPr>
          <w:rFonts w:ascii="Arial" w:cs="Arial" w:eastAsia="Arial" w:hAnsi="Arial"/>
          <w:sz w:val="17"/>
          <w:szCs w:val="17"/>
          <w:color w:val="auto"/>
        </w:rPr>
        <w:t xml:space="preserve">Our exposure to market risk is described in Part II. </w:t>
      </w:r>
      <w:r>
        <w:rPr>
          <w:rFonts w:ascii="Arial" w:cs="Arial" w:eastAsia="Arial" w:hAnsi="Arial"/>
          <w:sz w:val="17"/>
          <w:szCs w:val="17"/>
          <w:i w:val="1"/>
          <w:iCs w:val="1"/>
          <w:color w:val="auto"/>
        </w:rPr>
        <w:t>Item 7A. Quantitative and Qualitative Disclosures About Market Risk</w:t>
      </w:r>
      <w:r>
        <w:rPr>
          <w:rFonts w:ascii="Arial" w:cs="Arial" w:eastAsia="Arial" w:hAnsi="Arial"/>
          <w:sz w:val="17"/>
          <w:szCs w:val="17"/>
          <w:color w:val="auto"/>
        </w:rPr>
        <w:t xml:space="preserve"> of our annual report on Form 10-K for the year ended December 31, 2025. We believe our exposure to market risk has not changed materially since then.</w:t>
      </w:r>
    </w:p>
    <w:p>
      <w:pPr>
        <w:spacing w:after="0" w:line="1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Disclosure controls and procedures are designed to provide reasonable assurance that information required to be disclosed by us in the reports filed with, or submitted to, securities regulatory authorities, including under the Exchange Act, is recorded, processed, summarized and reported within the time periods specified under Canadian and US securities law. Disclosure controls and procedures include, without limitation, controls and procedures designed to provide reasonable assurance that information required to be disclosed by us in the reports we file or submit under the Exchange Act is accumulated and communicated to management, including the Chief Executive Officer and Chief Financial Officer, as appropriate, to allow timely decisions regarding required disclosure.</w:t>
      </w:r>
    </w:p>
    <w:p>
      <w:pPr>
        <w:spacing w:after="0" w:line="17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Under the supervision of and with the participation of management, including the Chief Executive Officer and Chief Financial Officer, we have evaluated the effectiveness of our disclosure controls and procedures (as such term is defined in Rules 13a-15(e) and 15d-15(e) under the Exchange Act) as at March 31, 2026, and based upon this evaluation, the Chief Executive Officer and Chief Financial Officer have concluded that these controls and procedures are effective in ensuring that information required to be disclosed by us in reports that we file with or submit to the SEC and the Canadian Securities Administrators is recorded, processed, summarized and reported within the time periods required.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Under the supervision of and with the participation of management, including the Chief Executive Officer and Chief Financial Officer, we have evaluated changes in internal control over financial reporting (as such term is defined in Rules 13a-15(f) and 15d-15(f) under the Exchange Act) that occurred during the fiscal quarter ended March 31, 2026 and found no change that has materially affected, or is reasonably likely to materially affect, internal control over financial reporting.</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5" w:name="page46"/>
    <w:bookmarkEnd w:id="45"/>
    <w:p>
      <w:pPr>
        <w:ind w:left="3560"/>
        <w:spacing w:after="0"/>
        <w:rPr>
          <w:sz w:val="20"/>
          <w:szCs w:val="20"/>
          <w:color w:val="auto"/>
        </w:rPr>
      </w:pPr>
      <w:r>
        <w:rPr>
          <w:rFonts w:ascii="Arial" w:cs="Arial" w:eastAsia="Arial" w:hAnsi="Arial"/>
          <w:sz w:val="27"/>
          <w:szCs w:val="27"/>
          <w:b w:val="1"/>
          <w:bCs w:val="1"/>
          <w:color w:val="auto"/>
        </w:rPr>
        <w:t>PART II - OTHER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218"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 xml:space="preserve">We are involved in various legal and regulatory actions and proceedings which arise in the ordinary course of business. While the final outcome of such actions and proceedings cannot be predicted with certainty, management believes that the resolution of such actions and proceedings will not have a material impact on our consolidated financial position or results of operations. Refer to Part I. </w:t>
      </w:r>
      <w:r>
        <w:rPr>
          <w:rFonts w:ascii="Arial" w:cs="Arial" w:eastAsia="Arial" w:hAnsi="Arial"/>
          <w:sz w:val="18"/>
          <w:szCs w:val="18"/>
          <w:i w:val="1"/>
          <w:iCs w:val="1"/>
          <w:color w:val="auto"/>
        </w:rPr>
        <w:t>Item 2</w:t>
      </w:r>
      <w:r>
        <w:rPr>
          <w:rFonts w:ascii="Arial" w:cs="Arial" w:eastAsia="Arial" w:hAnsi="Arial"/>
          <w:sz w:val="18"/>
          <w:szCs w:val="18"/>
          <w:color w:val="auto"/>
        </w:rPr>
        <w:t>.</w:t>
      </w:r>
    </w:p>
    <w:p>
      <w:pPr>
        <w:spacing w:after="0" w:line="3"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 Legal and Other Updates </w:t>
      </w:r>
      <w:r>
        <w:rPr>
          <w:rFonts w:ascii="Arial" w:cs="Arial" w:eastAsia="Arial" w:hAnsi="Arial"/>
          <w:sz w:val="18"/>
          <w:szCs w:val="18"/>
          <w:color w:val="auto"/>
        </w:rPr>
        <w:t>for discussion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legal proceedings with recent developments.</w:t>
      </w:r>
    </w:p>
    <w:p>
      <w:pPr>
        <w:spacing w:after="0" w:line="17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SEC regulations require the disclosure of any proceeding under environmental laws to which a governmental authority is a party unless the registrant reasonably believes it will not result in monetary sanctions over a certain threshold. Given the size of our operations, we have elected to use a threshold of US$1 million for the purposes of determining proceedings requiring disclosure. We have no such proceedings to disclose in this quarterly report.</w:t>
      </w:r>
    </w:p>
    <w:p>
      <w:pPr>
        <w:spacing w:after="0" w:line="1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1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 xml:space="preserve">In addition to the other information set forth in this report, careful consideration should be given to the factors discussed in Part I. </w:t>
      </w:r>
      <w:r>
        <w:rPr>
          <w:rFonts w:ascii="Arial" w:cs="Arial" w:eastAsia="Arial" w:hAnsi="Arial"/>
          <w:sz w:val="18"/>
          <w:szCs w:val="18"/>
          <w:i w:val="1"/>
          <w:iCs w:val="1"/>
          <w:color w:val="auto"/>
        </w:rPr>
        <w:t>Item 1A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of our annual report on Form 10-K for the year ended December 31, 2025, which could materially affect our financial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or future results. There have been no material modifications to those risk factors, other than as set forth below.</w:t>
      </w:r>
    </w:p>
    <w:p>
      <w:pPr>
        <w:spacing w:after="0" w:line="150" w:lineRule="exact"/>
        <w:rPr>
          <w:sz w:val="20"/>
          <w:szCs w:val="20"/>
          <w:color w:val="auto"/>
        </w:rPr>
      </w:pPr>
    </w:p>
    <w:p>
      <w:pPr>
        <w:ind w:right="780"/>
        <w:spacing w:after="0" w:line="294" w:lineRule="auto"/>
        <w:rPr>
          <w:sz w:val="20"/>
          <w:szCs w:val="20"/>
          <w:color w:val="auto"/>
        </w:rPr>
      </w:pPr>
      <w:r>
        <w:rPr>
          <w:rFonts w:ascii="Arial" w:cs="Arial" w:eastAsia="Arial" w:hAnsi="Arial"/>
          <w:sz w:val="18"/>
          <w:szCs w:val="18"/>
          <w:b w:val="1"/>
          <w:bCs w:val="1"/>
          <w:i w:val="1"/>
          <w:iCs w:val="1"/>
          <w:color w:val="auto"/>
        </w:rPr>
        <w:t>Terrorist attacks and threats, escalation of military activity in response to these attacks or acts of war, other civil unrest or activism, or geopolitical uncertainty could adversely affect our business, operations or financial results.</w:t>
      </w:r>
    </w:p>
    <w:p>
      <w:pPr>
        <w:spacing w:after="0" w:line="11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Terrorist attacks and threats (which may take the form of cyber attacks), escalation of military activity, armed hostilities, war, sabotage, or civil unrest or activism may disrupt general economic conditions, cause fluctuations in consumer confidence and spending, and affect market liquidity, all of which could negatively impact our business. Future terrorist attacks, rumors or threats of war, actual conflicts involving the US or Canada, civil unrest or military, trade, or commodity supply and demand disruptions may significantly affect our operations and those of our customers. Strategic critical infrastructure, including energy-related assets, face heightened risk of cyber or physical attacks. Our assets and projects under construction could be direct targets or indirect casualties of such an attack.</w:t>
      </w:r>
    </w:p>
    <w:p>
      <w:pPr>
        <w:spacing w:after="0" w:line="161" w:lineRule="exact"/>
        <w:rPr>
          <w:sz w:val="20"/>
          <w:szCs w:val="20"/>
          <w:color w:val="auto"/>
        </w:rPr>
      </w:pPr>
    </w:p>
    <w:p>
      <w:pPr>
        <w:jc w:val="both"/>
        <w:ind w:right="80"/>
        <w:spacing w:after="0" w:line="251" w:lineRule="auto"/>
        <w:rPr>
          <w:sz w:val="20"/>
          <w:szCs w:val="20"/>
          <w:color w:val="auto"/>
        </w:rPr>
      </w:pPr>
      <w:r>
        <w:rPr>
          <w:rFonts w:ascii="Arial" w:cs="Arial" w:eastAsia="Arial" w:hAnsi="Arial"/>
          <w:sz w:val="18"/>
          <w:szCs w:val="18"/>
          <w:color w:val="auto"/>
        </w:rPr>
        <w:t>In addition, increased environmental activism against energy infrastructure could lead to work delays, reduced demand for our services, new or stricter legislation or public policy, or denial or delay of permits and rights-of-way. We also face risks related to international relations and geopolitical events, including military escalation in key energy-producing regions such as Venezuela, Iran and the Middle East. Factors such as political, economic, or social instability, trade disputes, increased tariffs, legal and regulatory changes, disruption of international shipping routes and shifts in political leadership can lead to volatility in commodity prices and affect energy availability and costs.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46" w:name="page47"/>
    <w:bookmarkEnd w:id="46"/>
    <w:p>
      <w:pPr>
        <w:ind w:right="520"/>
        <w:spacing w:after="0" w:line="278" w:lineRule="auto"/>
        <w:rPr>
          <w:sz w:val="20"/>
          <w:szCs w:val="20"/>
          <w:color w:val="auto"/>
        </w:rPr>
      </w:pPr>
      <w:r>
        <w:rPr>
          <w:rFonts w:ascii="Arial" w:cs="Arial" w:eastAsia="Arial" w:hAnsi="Arial"/>
          <w:sz w:val="18"/>
          <w:szCs w:val="18"/>
          <w:b w:val="1"/>
          <w:bCs w:val="1"/>
          <w:i w:val="1"/>
          <w:iCs w:val="1"/>
          <w:color w:val="auto"/>
        </w:rPr>
        <w:t>The effects of US, Canadian and other governments' policies on tariffs and trade relations are uncertain and could adversely impact our business, operations or financial results.</w:t>
      </w:r>
    </w:p>
    <w:p>
      <w:pPr>
        <w:spacing w:after="0" w:line="13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announcement and imposition of tariffs by the US, together with potential, announced or implemented retaliatory tariffs by other governments on imports from the US, and other potential measures, including duties, fees, economic sanctions or other trade measures, as well as the potential impacts of these tariffs and trade measures, present significant risks to our business operations and financial results. Tariffs announced by the US (which are in addition to any pre-existing tariffs) which may impact our business operations include, among others:</w:t>
      </w:r>
    </w:p>
    <w:p>
      <w:pPr>
        <w:spacing w:after="0" w:line="177" w:lineRule="exact"/>
        <w:rPr>
          <w:sz w:val="20"/>
          <w:szCs w:val="20"/>
          <w:color w:val="auto"/>
        </w:rPr>
      </w:pPr>
    </w:p>
    <w:p>
      <w:pPr>
        <w:ind w:left="380" w:right="360" w:hanging="178"/>
        <w:spacing w:after="0" w:line="244" w:lineRule="auto"/>
        <w:tabs>
          <w:tab w:leader="none" w:pos="38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tariff on Canadian goods that are non-compliant under the United States-Mexico-Canada Agreement (USMCA) (excludes crude oil, natural gas and natural gas liquids);</w:t>
      </w:r>
    </w:p>
    <w:p>
      <w:pPr>
        <w:spacing w:after="0" w:line="1" w:lineRule="exact"/>
        <w:rPr>
          <w:rFonts w:ascii="Times New Roman" w:cs="Times New Roman" w:eastAsia="Times New Roman" w:hAnsi="Times New Roman"/>
          <w:sz w:val="18"/>
          <w:szCs w:val="18"/>
          <w:color w:val="auto"/>
        </w:rPr>
      </w:pPr>
    </w:p>
    <w:p>
      <w:pPr>
        <w:ind w:left="380" w:hanging="178"/>
        <w:spacing w:after="0"/>
        <w:tabs>
          <w:tab w:leader="none" w:pos="38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global tariffs on steel and aluminum; and</w:t>
      </w:r>
    </w:p>
    <w:p>
      <w:pPr>
        <w:spacing w:after="0" w:line="8" w:lineRule="exact"/>
        <w:rPr>
          <w:rFonts w:ascii="Times New Roman" w:cs="Times New Roman" w:eastAsia="Times New Roman" w:hAnsi="Times New Roman"/>
          <w:sz w:val="18"/>
          <w:szCs w:val="18"/>
          <w:color w:val="auto"/>
        </w:rPr>
      </w:pPr>
    </w:p>
    <w:p>
      <w:pPr>
        <w:ind w:left="380" w:hanging="178"/>
        <w:spacing w:after="0"/>
        <w:tabs>
          <w:tab w:leader="none" w:pos="38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other periodic retaliatory tariffs on Canada.</w:t>
      </w:r>
    </w:p>
    <w:p>
      <w:pPr>
        <w:spacing w:after="0" w:line="17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Several of the US tariff announcements have been followed by announcements of limited exemptions, temporary pauses on implementation dates and litigation. In response to the US tariff announcements, certain governments have threatened or announced retaliatory measures against the US and/or are in the process of negotiating with the US on tariff agreements. In addition, while in February 2026, the US Supreme Court ruled that the US President did not have authority to impose certain tariffs and trade measures on an "emergency" basis, the US administration is pursuing other means of imposing tariffs. These announcements and activities have led to significant uncertainty and market volatility.</w:t>
      </w:r>
    </w:p>
    <w:p>
      <w:pPr>
        <w:spacing w:after="0" w:line="175"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If maintained, such trade measures, the nature, extent and timing of which are uncertain, and the potential for escalation of trade disputes, including retaliatory measures, could lead to, among other things, worsening of macroeconomic conditions, inflationary pressures, increased construction costs, costs to maintain our assets and other costs and expenses, as well as to potential reductions in demand for US and/or Canadian energy. The measures also introduce uncertainty in North American energy and capital markets and have the potential to disrupt supply chains and access to capital markets and jeopardize our competitiveness. The US Government has also stated its interest in renegotiating and altering the USMCA, which could further impact the energy market and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significantly adversely impact our business, operations or financial results.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UNREGISTERED SALES OF EQUITY SECURITIES AND USE OF PROCEEDS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DEFAULTS UPON SENIOR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MINE SAFETY DISCLOSURES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9" w:right="419" w:bottom="1440" w:gutter="0" w:footer="0" w:header="0"/>
        </w:sectPr>
      </w:pPr>
    </w:p>
    <w:bookmarkStart w:id="47" w:name="page48"/>
    <w:bookmarkEnd w:id="47"/>
    <w:p>
      <w:pPr>
        <w:spacing w:after="0"/>
        <w:rPr>
          <w:sz w:val="20"/>
          <w:szCs w:val="20"/>
          <w:color w:val="auto"/>
        </w:rPr>
      </w:pPr>
      <w:r>
        <w:rPr>
          <w:rFonts w:ascii="Arial" w:cs="Arial" w:eastAsia="Arial" w:hAnsi="Arial"/>
          <w:sz w:val="25"/>
          <w:szCs w:val="25"/>
          <w:b w:val="1"/>
          <w:bCs w:val="1"/>
          <w:color w:val="auto"/>
        </w:rPr>
        <w:t>ITEM 5. OTHER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AND DIRECTORS TRADING ARRANGEMENTS</w:t>
      </w:r>
    </w:p>
    <w:p>
      <w:pPr>
        <w:spacing w:after="0" w:line="1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Certain of our officers and directors have made elections to participate in, and are participating in, our compensation and benefit plans involving Enbridge securities, such as our 401(k) plan and directors' compensation plan, and may from time to time make elections which may be designed to satisfy the affirmative defense conditions of Rule 10b5-1 under the Exchange Act or may constitute non-Rule 10b5-1 trading arrangements (as defined in Item 408(c) of Regulation S-K). During the first quarter of 2026, none of our directors or officers adopted or terminated a trading plan intended to satisfy Rule 10b5-1 or any non-Rule 10b5-1 trading arrangement, as defined in Item 408 of Regulation S-K.</w:t>
      </w: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1" w:right="419" w:bottom="1440" w:gutter="0" w:footer="0" w:header="0"/>
        </w:sectPr>
      </w:pPr>
    </w:p>
    <w:bookmarkStart w:id="48" w:name="page49"/>
    <w:bookmarkEnd w:id="48"/>
    <w:p>
      <w:pPr>
        <w:spacing w:after="0"/>
        <w:rPr>
          <w:sz w:val="20"/>
          <w:szCs w:val="20"/>
          <w:color w:val="auto"/>
        </w:rPr>
      </w:pPr>
      <w:r>
        <w:rPr>
          <w:rFonts w:ascii="Arial" w:cs="Arial" w:eastAsia="Arial" w:hAnsi="Arial"/>
          <w:sz w:val="25"/>
          <w:szCs w:val="25"/>
          <w:b w:val="1"/>
          <w:bCs w:val="1"/>
          <w:color w:val="auto"/>
        </w:rPr>
        <w:t>ITEM 6. EXHIBITS</w:t>
      </w:r>
    </w:p>
    <w:p>
      <w:pPr>
        <w:spacing w:after="0" w:line="21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Each exhibit identified below is included as a part of this quarterly report. Exhibits included in this filing are designated by an asterisk ("*"); all exhibits not so designated are incorporated by reference to a prior filing as indicated.</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393"/>
        </w:trPr>
        <w:tc>
          <w:tcPr>
            <w:tcW w:w="1460" w:type="dxa"/>
            <w:vAlign w:val="bottom"/>
            <w:tcBorders>
              <w:top w:val="single" w:sz="8" w:color="auto"/>
              <w:left w:val="single" w:sz="8" w:color="auto"/>
              <w:right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Exhibit No.</w:t>
            </w:r>
          </w:p>
        </w:tc>
        <w:tc>
          <w:tcPr>
            <w:tcW w:w="280" w:type="dxa"/>
            <w:vAlign w:val="bottom"/>
            <w:tcBorders>
              <w:top w:val="single" w:sz="8" w:color="auto"/>
              <w:right w:val="single" w:sz="8" w:color="auto"/>
            </w:tcBorders>
          </w:tcPr>
          <w:p>
            <w:pPr>
              <w:spacing w:after="0"/>
              <w:rPr>
                <w:sz w:val="24"/>
                <w:szCs w:val="24"/>
                <w:color w:val="auto"/>
              </w:rPr>
            </w:pPr>
          </w:p>
        </w:tc>
        <w:tc>
          <w:tcPr>
            <w:tcW w:w="9520" w:type="dxa"/>
            <w:vAlign w:val="bottom"/>
            <w:tcBorders>
              <w:top w:val="single" w:sz="8" w:color="auto"/>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45"/>
        </w:trPr>
        <w:tc>
          <w:tcPr>
            <w:tcW w:w="98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179"/>
        </w:trPr>
        <w:tc>
          <w:tcPr>
            <w:tcW w:w="980" w:type="dxa"/>
            <w:vAlign w:val="bottom"/>
            <w:tcBorders>
              <w:left w:val="single" w:sz="8" w:color="auto"/>
            </w:tcBorders>
          </w:tcPr>
          <w:p>
            <w:pPr>
              <w:spacing w:after="0"/>
              <w:rPr>
                <w:sz w:val="15"/>
                <w:szCs w:val="15"/>
                <w:color w:val="auto"/>
              </w:rPr>
            </w:pPr>
          </w:p>
        </w:tc>
        <w:tc>
          <w:tcPr>
            <w:tcW w:w="420" w:type="dxa"/>
            <w:vAlign w:val="bottom"/>
            <w:tcBorders>
              <w:bottom w:val="single" w:sz="8" w:color="0000FF"/>
            </w:tcBorders>
          </w:tcPr>
          <w:p>
            <w:pPr>
              <w:jc w:val="right"/>
              <w:spacing w:after="0" w:line="163" w:lineRule="exact"/>
              <w:rPr>
                <w:sz w:val="20"/>
                <w:szCs w:val="20"/>
                <w:color w:val="auto"/>
              </w:rPr>
            </w:pPr>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w:t>
            </w:r>
          </w:p>
        </w:tc>
        <w:tc>
          <w:tcPr>
            <w:tcW w:w="60" w:type="dxa"/>
            <w:vAlign w:val="bottom"/>
            <w:tcBorders>
              <w:right w:val="single" w:sz="8" w:color="auto"/>
            </w:tcBorders>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9520" w:type="dxa"/>
            <w:vAlign w:val="bottom"/>
            <w:tcBorders>
              <w:right w:val="single" w:sz="8" w:color="auto"/>
            </w:tcBorders>
            <w:gridSpan w:val="5"/>
          </w:tcPr>
          <w:p>
            <w:pPr>
              <w:ind w:left="20"/>
              <w:spacing w:after="0" w:line="179" w:lineRule="exact"/>
              <w:rPr>
                <w:sz w:val="20"/>
                <w:szCs w:val="20"/>
                <w:color w:val="auto"/>
              </w:rPr>
            </w:pPr>
            <w:r>
              <w:rPr>
                <w:rFonts w:ascii="Arial" w:cs="Arial" w:eastAsia="Arial" w:hAnsi="Arial"/>
                <w:sz w:val="18"/>
                <w:szCs w:val="18"/>
                <w:color w:val="0000FF"/>
              </w:rPr>
              <w:t>Enbridge Inc. Directors’ Compensation Plan dated February 11, 2026, effective January 1, 2026</w:t>
            </w:r>
          </w:p>
        </w:tc>
      </w:tr>
      <w:tr>
        <w:trPr>
          <w:trHeight w:val="20"/>
        </w:trPr>
        <w:tc>
          <w:tcPr>
            <w:tcW w:w="98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Borders>
              <w:bottom w:val="single" w:sz="8" w:color="0000FF"/>
            </w:tcBorders>
          </w:tcPr>
          <w:p>
            <w:pPr>
              <w:spacing w:after="0" w:line="20" w:lineRule="exact"/>
              <w:rPr>
                <w:sz w:val="1"/>
                <w:szCs w:val="1"/>
                <w:color w:val="auto"/>
              </w:rPr>
            </w:pPr>
          </w:p>
        </w:tc>
        <w:tc>
          <w:tcPr>
            <w:tcW w:w="3980" w:type="dxa"/>
            <w:vAlign w:val="bottom"/>
            <w:tcBorders>
              <w:bottom w:val="single" w:sz="8" w:color="0000FF"/>
            </w:tcBorders>
          </w:tcPr>
          <w:p>
            <w:pPr>
              <w:spacing w:after="0" w:line="20" w:lineRule="exact"/>
              <w:rPr>
                <w:sz w:val="1"/>
                <w:szCs w:val="1"/>
                <w:color w:val="auto"/>
              </w:rPr>
            </w:pPr>
          </w:p>
        </w:tc>
        <w:tc>
          <w:tcPr>
            <w:tcW w:w="1860" w:type="dxa"/>
            <w:vAlign w:val="bottom"/>
            <w:tcBorders>
              <w:bottom w:val="single" w:sz="8" w:color="0000FF"/>
            </w:tcBorders>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21"/>
        </w:trPr>
        <w:tc>
          <w:tcPr>
            <w:tcW w:w="98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r>
      <w:tr>
        <w:trPr>
          <w:trHeight w:val="196"/>
        </w:trPr>
        <w:tc>
          <w:tcPr>
            <w:tcW w:w="1460" w:type="dxa"/>
            <w:vAlign w:val="bottom"/>
            <w:tcBorders>
              <w:left w:val="single" w:sz="8" w:color="auto"/>
              <w:right w:val="single" w:sz="8" w:color="auto"/>
            </w:tcBorders>
            <w:gridSpan w:val="3"/>
          </w:tcPr>
          <w:p>
            <w:pPr>
              <w:jc w:val="right"/>
              <w:ind w:right="60"/>
              <w:spacing w:after="0" w:line="196" w:lineRule="exact"/>
              <w:rPr>
                <w:sz w:val="20"/>
                <w:szCs w:val="20"/>
                <w:color w:val="auto"/>
              </w:rPr>
            </w:pPr>
            <w:r>
              <w:rPr>
                <w:rFonts w:ascii="Arial" w:cs="Arial" w:eastAsia="Arial" w:hAnsi="Arial"/>
                <w:sz w:val="18"/>
                <w:szCs w:val="18"/>
                <w:color w:val="0000FF"/>
              </w:rPr>
              <w:t>22.</w:t>
            </w:r>
            <w:r>
              <w:rPr>
                <w:rFonts w:ascii="Arial" w:cs="Arial" w:eastAsia="Arial" w:hAnsi="Arial"/>
                <w:sz w:val="18"/>
                <w:szCs w:val="18"/>
                <w:u w:val="single" w:color="auto"/>
                <w:color w:val="0000FF"/>
              </w:rPr>
              <w:t>1*</w:t>
            </w:r>
          </w:p>
        </w:tc>
        <w:tc>
          <w:tcPr>
            <w:tcW w:w="280" w:type="dxa"/>
            <w:vAlign w:val="bottom"/>
            <w:tcBorders>
              <w:right w:val="single" w:sz="8" w:color="auto"/>
            </w:tcBorders>
          </w:tcPr>
          <w:p>
            <w:pPr>
              <w:spacing w:after="0"/>
              <w:rPr>
                <w:sz w:val="17"/>
                <w:szCs w:val="17"/>
                <w:color w:val="auto"/>
              </w:rPr>
            </w:pPr>
          </w:p>
        </w:tc>
        <w:tc>
          <w:tcPr>
            <w:tcW w:w="9520" w:type="dxa"/>
            <w:vAlign w:val="bottom"/>
            <w:tcBorders>
              <w:right w:val="single" w:sz="8" w:color="auto"/>
            </w:tcBorders>
            <w:gridSpan w:val="5"/>
          </w:tcPr>
          <w:p>
            <w:pPr>
              <w:ind w:left="20"/>
              <w:spacing w:after="0" w:line="196" w:lineRule="exact"/>
              <w:rPr>
                <w:sz w:val="20"/>
                <w:szCs w:val="20"/>
                <w:color w:val="auto"/>
              </w:rPr>
            </w:pPr>
            <w:r>
              <w:rPr>
                <w:rFonts w:ascii="Arial" w:cs="Arial" w:eastAsia="Arial" w:hAnsi="Arial"/>
                <w:sz w:val="18"/>
                <w:szCs w:val="18"/>
                <w:color w:val="0000FF"/>
              </w:rPr>
              <w:t>Subsidiary Guarantors</w:t>
            </w:r>
          </w:p>
        </w:tc>
      </w:tr>
      <w:tr>
        <w:trPr>
          <w:trHeight w:val="61"/>
        </w:trPr>
        <w:tc>
          <w:tcPr>
            <w:tcW w:w="980" w:type="dxa"/>
            <w:vAlign w:val="bottom"/>
            <w:tcBorders>
              <w:left w:val="single" w:sz="8" w:color="auto"/>
              <w:bottom w:val="single" w:sz="8" w:color="auto"/>
            </w:tcBorders>
          </w:tcPr>
          <w:p>
            <w:pPr>
              <w:spacing w:after="0"/>
              <w:rPr>
                <w:sz w:val="5"/>
                <w:szCs w:val="5"/>
                <w:color w:val="auto"/>
              </w:rPr>
            </w:pPr>
          </w:p>
        </w:tc>
        <w:tc>
          <w:tcPr>
            <w:tcW w:w="420" w:type="dxa"/>
            <w:vAlign w:val="bottom"/>
            <w:tcBorders>
              <w:top w:val="single" w:sz="8" w:color="0000FF"/>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80" w:type="dxa"/>
            <w:vAlign w:val="bottom"/>
            <w:tcBorders>
              <w:top w:val="single" w:sz="8" w:color="0000FF"/>
              <w:bottom w:val="single" w:sz="8" w:color="auto"/>
            </w:tcBorders>
          </w:tcPr>
          <w:p>
            <w:pPr>
              <w:spacing w:after="0"/>
              <w:rPr>
                <w:sz w:val="5"/>
                <w:szCs w:val="5"/>
                <w:color w:val="auto"/>
              </w:rPr>
            </w:pPr>
          </w:p>
        </w:tc>
        <w:tc>
          <w:tcPr>
            <w:tcW w:w="398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r>
        <w:trPr>
          <w:trHeight w:val="196"/>
        </w:trPr>
        <w:tc>
          <w:tcPr>
            <w:tcW w:w="1460" w:type="dxa"/>
            <w:vAlign w:val="bottom"/>
            <w:tcBorders>
              <w:left w:val="single" w:sz="8" w:color="auto"/>
              <w:right w:val="single" w:sz="8" w:color="auto"/>
            </w:tcBorders>
            <w:gridSpan w:val="3"/>
          </w:tcPr>
          <w:p>
            <w:pPr>
              <w:jc w:val="right"/>
              <w:ind w:right="60"/>
              <w:spacing w:after="0" w:line="196"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280" w:type="dxa"/>
            <w:vAlign w:val="bottom"/>
            <w:tcBorders>
              <w:right w:val="single" w:sz="8" w:color="auto"/>
            </w:tcBorders>
          </w:tcPr>
          <w:p>
            <w:pPr>
              <w:spacing w:after="0"/>
              <w:rPr>
                <w:sz w:val="17"/>
                <w:szCs w:val="17"/>
                <w:color w:val="auto"/>
              </w:rPr>
            </w:pPr>
          </w:p>
        </w:tc>
        <w:tc>
          <w:tcPr>
            <w:tcW w:w="9520" w:type="dxa"/>
            <w:vAlign w:val="bottom"/>
            <w:tcBorders>
              <w:right w:val="single" w:sz="8" w:color="auto"/>
            </w:tcBorders>
            <w:gridSpan w:val="5"/>
          </w:tcPr>
          <w:p>
            <w:pPr>
              <w:ind w:left="20"/>
              <w:spacing w:after="0" w:line="196" w:lineRule="exact"/>
              <w:rPr>
                <w:sz w:val="20"/>
                <w:szCs w:val="20"/>
                <w:color w:val="auto"/>
              </w:rPr>
            </w:pPr>
            <w:r>
              <w:rPr>
                <w:rFonts w:ascii="Arial" w:cs="Arial" w:eastAsia="Arial" w:hAnsi="Arial"/>
                <w:sz w:val="18"/>
                <w:szCs w:val="18"/>
                <w:color w:val="0000FF"/>
              </w:rPr>
              <w:t>Certification Pursuant to Section 302 of the Sarbanes-Oxley Act of 2002.</w:t>
            </w:r>
          </w:p>
        </w:tc>
      </w:tr>
      <w:tr>
        <w:trPr>
          <w:trHeight w:val="61"/>
        </w:trPr>
        <w:tc>
          <w:tcPr>
            <w:tcW w:w="980" w:type="dxa"/>
            <w:vAlign w:val="bottom"/>
            <w:tcBorders>
              <w:left w:val="single" w:sz="8" w:color="auto"/>
              <w:bottom w:val="single" w:sz="8" w:color="auto"/>
            </w:tcBorders>
          </w:tcPr>
          <w:p>
            <w:pPr>
              <w:spacing w:after="0"/>
              <w:rPr>
                <w:sz w:val="5"/>
                <w:szCs w:val="5"/>
                <w:color w:val="auto"/>
              </w:rPr>
            </w:pPr>
          </w:p>
        </w:tc>
        <w:tc>
          <w:tcPr>
            <w:tcW w:w="420" w:type="dxa"/>
            <w:vAlign w:val="bottom"/>
            <w:tcBorders>
              <w:top w:val="single" w:sz="8" w:color="0000FF"/>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80" w:type="dxa"/>
            <w:vAlign w:val="bottom"/>
            <w:tcBorders>
              <w:top w:val="single" w:sz="8" w:color="0000FF"/>
              <w:bottom w:val="single" w:sz="8" w:color="auto"/>
            </w:tcBorders>
          </w:tcPr>
          <w:p>
            <w:pPr>
              <w:spacing w:after="0"/>
              <w:rPr>
                <w:sz w:val="5"/>
                <w:szCs w:val="5"/>
                <w:color w:val="auto"/>
              </w:rPr>
            </w:pPr>
          </w:p>
        </w:tc>
        <w:tc>
          <w:tcPr>
            <w:tcW w:w="3980" w:type="dxa"/>
            <w:vAlign w:val="bottom"/>
            <w:tcBorders>
              <w:top w:val="single" w:sz="8" w:color="0000FF"/>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r>
        <w:trPr>
          <w:trHeight w:val="196"/>
        </w:trPr>
        <w:tc>
          <w:tcPr>
            <w:tcW w:w="1460" w:type="dxa"/>
            <w:vAlign w:val="bottom"/>
            <w:tcBorders>
              <w:left w:val="single" w:sz="8" w:color="auto"/>
              <w:right w:val="single" w:sz="8" w:color="auto"/>
            </w:tcBorders>
            <w:gridSpan w:val="3"/>
          </w:tcPr>
          <w:p>
            <w:pPr>
              <w:jc w:val="right"/>
              <w:ind w:right="60"/>
              <w:spacing w:after="0" w:line="196"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280" w:type="dxa"/>
            <w:vAlign w:val="bottom"/>
            <w:tcBorders>
              <w:right w:val="single" w:sz="8" w:color="auto"/>
            </w:tcBorders>
          </w:tcPr>
          <w:p>
            <w:pPr>
              <w:spacing w:after="0"/>
              <w:rPr>
                <w:sz w:val="17"/>
                <w:szCs w:val="17"/>
                <w:color w:val="auto"/>
              </w:rPr>
            </w:pPr>
          </w:p>
        </w:tc>
        <w:tc>
          <w:tcPr>
            <w:tcW w:w="9520" w:type="dxa"/>
            <w:vAlign w:val="bottom"/>
            <w:tcBorders>
              <w:right w:val="single" w:sz="8" w:color="auto"/>
            </w:tcBorders>
            <w:gridSpan w:val="5"/>
          </w:tcPr>
          <w:p>
            <w:pPr>
              <w:ind w:left="20"/>
              <w:spacing w:after="0" w:line="196" w:lineRule="exact"/>
              <w:rPr>
                <w:sz w:val="20"/>
                <w:szCs w:val="20"/>
                <w:color w:val="auto"/>
              </w:rPr>
            </w:pPr>
            <w:r>
              <w:rPr>
                <w:rFonts w:ascii="Arial" w:cs="Arial" w:eastAsia="Arial" w:hAnsi="Arial"/>
                <w:sz w:val="18"/>
                <w:szCs w:val="18"/>
                <w:color w:val="0000FF"/>
              </w:rPr>
              <w:t>Certification Pursuant to Section 302 of the Sarbanes-Oxley Act of 2002.</w:t>
            </w:r>
          </w:p>
        </w:tc>
      </w:tr>
      <w:tr>
        <w:trPr>
          <w:trHeight w:val="61"/>
        </w:trPr>
        <w:tc>
          <w:tcPr>
            <w:tcW w:w="980" w:type="dxa"/>
            <w:vAlign w:val="bottom"/>
            <w:tcBorders>
              <w:left w:val="single" w:sz="8" w:color="auto"/>
              <w:bottom w:val="single" w:sz="8" w:color="auto"/>
            </w:tcBorders>
          </w:tcPr>
          <w:p>
            <w:pPr>
              <w:spacing w:after="0"/>
              <w:rPr>
                <w:sz w:val="5"/>
                <w:szCs w:val="5"/>
                <w:color w:val="auto"/>
              </w:rPr>
            </w:pPr>
          </w:p>
        </w:tc>
        <w:tc>
          <w:tcPr>
            <w:tcW w:w="420" w:type="dxa"/>
            <w:vAlign w:val="bottom"/>
            <w:tcBorders>
              <w:top w:val="single" w:sz="8" w:color="0000FF"/>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80" w:type="dxa"/>
            <w:vAlign w:val="bottom"/>
            <w:tcBorders>
              <w:top w:val="single" w:sz="8" w:color="0000FF"/>
              <w:bottom w:val="single" w:sz="8" w:color="auto"/>
            </w:tcBorders>
          </w:tcPr>
          <w:p>
            <w:pPr>
              <w:spacing w:after="0"/>
              <w:rPr>
                <w:sz w:val="5"/>
                <w:szCs w:val="5"/>
                <w:color w:val="auto"/>
              </w:rPr>
            </w:pPr>
          </w:p>
        </w:tc>
        <w:tc>
          <w:tcPr>
            <w:tcW w:w="3980" w:type="dxa"/>
            <w:vAlign w:val="bottom"/>
            <w:tcBorders>
              <w:top w:val="single" w:sz="8" w:color="0000FF"/>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r>
        <w:trPr>
          <w:trHeight w:val="196"/>
        </w:trPr>
        <w:tc>
          <w:tcPr>
            <w:tcW w:w="1460" w:type="dxa"/>
            <w:vAlign w:val="bottom"/>
            <w:tcBorders>
              <w:left w:val="single" w:sz="8" w:color="auto"/>
              <w:right w:val="single" w:sz="8" w:color="auto"/>
            </w:tcBorders>
            <w:gridSpan w:val="3"/>
          </w:tcPr>
          <w:p>
            <w:pPr>
              <w:jc w:val="right"/>
              <w:ind w:right="60"/>
              <w:spacing w:after="0" w:line="196"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280" w:type="dxa"/>
            <w:vAlign w:val="bottom"/>
            <w:tcBorders>
              <w:right w:val="single" w:sz="8" w:color="auto"/>
            </w:tcBorders>
          </w:tcPr>
          <w:p>
            <w:pPr>
              <w:spacing w:after="0"/>
              <w:rPr>
                <w:sz w:val="17"/>
                <w:szCs w:val="17"/>
                <w:color w:val="auto"/>
              </w:rPr>
            </w:pPr>
          </w:p>
        </w:tc>
        <w:tc>
          <w:tcPr>
            <w:tcW w:w="9520" w:type="dxa"/>
            <w:vAlign w:val="bottom"/>
            <w:tcBorders>
              <w:right w:val="single" w:sz="8" w:color="auto"/>
            </w:tcBorders>
            <w:gridSpan w:val="5"/>
          </w:tcPr>
          <w:p>
            <w:pPr>
              <w:ind w:left="20"/>
              <w:spacing w:after="0" w:line="196" w:lineRule="exact"/>
              <w:rPr>
                <w:sz w:val="20"/>
                <w:szCs w:val="20"/>
                <w:color w:val="auto"/>
              </w:rPr>
            </w:pPr>
            <w:r>
              <w:rPr>
                <w:rFonts w:ascii="Arial" w:cs="Arial" w:eastAsia="Arial" w:hAnsi="Arial"/>
                <w:sz w:val="18"/>
                <w:szCs w:val="18"/>
                <w:color w:val="0000FF"/>
              </w:rPr>
              <w:t>Certification Pursuant to Section 906 of the Sarbanes-Oxley Act of 2002.</w:t>
            </w:r>
          </w:p>
        </w:tc>
      </w:tr>
      <w:tr>
        <w:trPr>
          <w:trHeight w:val="61"/>
        </w:trPr>
        <w:tc>
          <w:tcPr>
            <w:tcW w:w="980" w:type="dxa"/>
            <w:vAlign w:val="bottom"/>
            <w:tcBorders>
              <w:left w:val="single" w:sz="8" w:color="auto"/>
              <w:bottom w:val="single" w:sz="8" w:color="auto"/>
            </w:tcBorders>
          </w:tcPr>
          <w:p>
            <w:pPr>
              <w:spacing w:after="0"/>
              <w:rPr>
                <w:sz w:val="5"/>
                <w:szCs w:val="5"/>
                <w:color w:val="auto"/>
              </w:rPr>
            </w:pPr>
          </w:p>
        </w:tc>
        <w:tc>
          <w:tcPr>
            <w:tcW w:w="420" w:type="dxa"/>
            <w:vAlign w:val="bottom"/>
            <w:tcBorders>
              <w:top w:val="single" w:sz="8" w:color="0000FF"/>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80" w:type="dxa"/>
            <w:vAlign w:val="bottom"/>
            <w:tcBorders>
              <w:top w:val="single" w:sz="8" w:color="0000FF"/>
              <w:bottom w:val="single" w:sz="8" w:color="auto"/>
            </w:tcBorders>
          </w:tcPr>
          <w:p>
            <w:pPr>
              <w:spacing w:after="0"/>
              <w:rPr>
                <w:sz w:val="5"/>
                <w:szCs w:val="5"/>
                <w:color w:val="auto"/>
              </w:rPr>
            </w:pPr>
          </w:p>
        </w:tc>
        <w:tc>
          <w:tcPr>
            <w:tcW w:w="3980" w:type="dxa"/>
            <w:vAlign w:val="bottom"/>
            <w:tcBorders>
              <w:top w:val="single" w:sz="8" w:color="0000FF"/>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r>
        <w:trPr>
          <w:trHeight w:val="196"/>
        </w:trPr>
        <w:tc>
          <w:tcPr>
            <w:tcW w:w="1460" w:type="dxa"/>
            <w:vAlign w:val="bottom"/>
            <w:tcBorders>
              <w:left w:val="single" w:sz="8" w:color="auto"/>
              <w:right w:val="single" w:sz="8" w:color="auto"/>
            </w:tcBorders>
            <w:gridSpan w:val="3"/>
          </w:tcPr>
          <w:p>
            <w:pPr>
              <w:jc w:val="right"/>
              <w:ind w:right="60"/>
              <w:spacing w:after="0" w:line="196"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p>
        </w:tc>
        <w:tc>
          <w:tcPr>
            <w:tcW w:w="280" w:type="dxa"/>
            <w:vAlign w:val="bottom"/>
            <w:tcBorders>
              <w:right w:val="single" w:sz="8" w:color="auto"/>
            </w:tcBorders>
          </w:tcPr>
          <w:p>
            <w:pPr>
              <w:spacing w:after="0"/>
              <w:rPr>
                <w:sz w:val="17"/>
                <w:szCs w:val="17"/>
                <w:color w:val="auto"/>
              </w:rPr>
            </w:pPr>
          </w:p>
        </w:tc>
        <w:tc>
          <w:tcPr>
            <w:tcW w:w="9520" w:type="dxa"/>
            <w:vAlign w:val="bottom"/>
            <w:tcBorders>
              <w:right w:val="single" w:sz="8" w:color="auto"/>
            </w:tcBorders>
            <w:gridSpan w:val="5"/>
          </w:tcPr>
          <w:p>
            <w:pPr>
              <w:ind w:left="20"/>
              <w:spacing w:after="0" w:line="196" w:lineRule="exact"/>
              <w:rPr>
                <w:sz w:val="20"/>
                <w:szCs w:val="20"/>
                <w:color w:val="auto"/>
              </w:rPr>
            </w:pPr>
            <w:r>
              <w:rPr>
                <w:rFonts w:ascii="Arial" w:cs="Arial" w:eastAsia="Arial" w:hAnsi="Arial"/>
                <w:sz w:val="18"/>
                <w:szCs w:val="18"/>
                <w:color w:val="0000FF"/>
              </w:rPr>
              <w:t>Certification Pursuant to Section 906 of the Sarbanes-Oxley Act of 2002.</w:t>
            </w:r>
          </w:p>
        </w:tc>
      </w:tr>
      <w:tr>
        <w:trPr>
          <w:trHeight w:val="61"/>
        </w:trPr>
        <w:tc>
          <w:tcPr>
            <w:tcW w:w="980" w:type="dxa"/>
            <w:vAlign w:val="bottom"/>
            <w:tcBorders>
              <w:left w:val="single" w:sz="8" w:color="auto"/>
              <w:bottom w:val="single" w:sz="8" w:color="auto"/>
            </w:tcBorders>
          </w:tcPr>
          <w:p>
            <w:pPr>
              <w:spacing w:after="0"/>
              <w:rPr>
                <w:sz w:val="5"/>
                <w:szCs w:val="5"/>
                <w:color w:val="auto"/>
              </w:rPr>
            </w:pPr>
          </w:p>
        </w:tc>
        <w:tc>
          <w:tcPr>
            <w:tcW w:w="420" w:type="dxa"/>
            <w:vAlign w:val="bottom"/>
            <w:tcBorders>
              <w:top w:val="single" w:sz="8" w:color="0000FF"/>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80" w:type="dxa"/>
            <w:vAlign w:val="bottom"/>
            <w:tcBorders>
              <w:top w:val="single" w:sz="8" w:color="0000FF"/>
              <w:bottom w:val="single" w:sz="8" w:color="auto"/>
            </w:tcBorders>
          </w:tcPr>
          <w:p>
            <w:pPr>
              <w:spacing w:after="0"/>
              <w:rPr>
                <w:sz w:val="5"/>
                <w:szCs w:val="5"/>
                <w:color w:val="auto"/>
              </w:rPr>
            </w:pPr>
          </w:p>
        </w:tc>
        <w:tc>
          <w:tcPr>
            <w:tcW w:w="3980" w:type="dxa"/>
            <w:vAlign w:val="bottom"/>
            <w:tcBorders>
              <w:top w:val="single" w:sz="8" w:color="0000FF"/>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r>
        <w:trPr>
          <w:trHeight w:val="241"/>
        </w:trPr>
        <w:tc>
          <w:tcPr>
            <w:tcW w:w="1460" w:type="dxa"/>
            <w:vAlign w:val="bottom"/>
            <w:tcBorders>
              <w:left w:val="single" w:sz="8" w:color="auto"/>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101.SCH*</w:t>
            </w:r>
          </w:p>
        </w:tc>
        <w:tc>
          <w:tcPr>
            <w:tcW w:w="280" w:type="dxa"/>
            <w:vAlign w:val="bottom"/>
            <w:tcBorders>
              <w:right w:val="single" w:sz="8" w:color="auto"/>
            </w:tcBorders>
          </w:tcPr>
          <w:p>
            <w:pPr>
              <w:spacing w:after="0"/>
              <w:rPr>
                <w:sz w:val="20"/>
                <w:szCs w:val="20"/>
                <w:color w:val="auto"/>
              </w:rPr>
            </w:pPr>
          </w:p>
        </w:tc>
        <w:tc>
          <w:tcPr>
            <w:tcW w:w="95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36"/>
        </w:trPr>
        <w:tc>
          <w:tcPr>
            <w:tcW w:w="98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241"/>
        </w:trPr>
        <w:tc>
          <w:tcPr>
            <w:tcW w:w="1460" w:type="dxa"/>
            <w:vAlign w:val="bottom"/>
            <w:tcBorders>
              <w:left w:val="single" w:sz="8" w:color="auto"/>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101.CAL*</w:t>
            </w:r>
          </w:p>
        </w:tc>
        <w:tc>
          <w:tcPr>
            <w:tcW w:w="280" w:type="dxa"/>
            <w:vAlign w:val="bottom"/>
            <w:tcBorders>
              <w:right w:val="single" w:sz="8" w:color="auto"/>
            </w:tcBorders>
          </w:tcPr>
          <w:p>
            <w:pPr>
              <w:spacing w:after="0"/>
              <w:rPr>
                <w:sz w:val="20"/>
                <w:szCs w:val="20"/>
                <w:color w:val="auto"/>
              </w:rPr>
            </w:pPr>
          </w:p>
        </w:tc>
        <w:tc>
          <w:tcPr>
            <w:tcW w:w="95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6"/>
        </w:trPr>
        <w:tc>
          <w:tcPr>
            <w:tcW w:w="98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241"/>
        </w:trPr>
        <w:tc>
          <w:tcPr>
            <w:tcW w:w="1460" w:type="dxa"/>
            <w:vAlign w:val="bottom"/>
            <w:tcBorders>
              <w:left w:val="single" w:sz="8" w:color="auto"/>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101.DEF*</w:t>
            </w:r>
          </w:p>
        </w:tc>
        <w:tc>
          <w:tcPr>
            <w:tcW w:w="280" w:type="dxa"/>
            <w:vAlign w:val="bottom"/>
            <w:tcBorders>
              <w:right w:val="single" w:sz="8" w:color="auto"/>
            </w:tcBorders>
          </w:tcPr>
          <w:p>
            <w:pPr>
              <w:spacing w:after="0"/>
              <w:rPr>
                <w:sz w:val="20"/>
                <w:szCs w:val="20"/>
                <w:color w:val="auto"/>
              </w:rPr>
            </w:pPr>
          </w:p>
        </w:tc>
        <w:tc>
          <w:tcPr>
            <w:tcW w:w="95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7"/>
        </w:trPr>
        <w:tc>
          <w:tcPr>
            <w:tcW w:w="98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241"/>
        </w:trPr>
        <w:tc>
          <w:tcPr>
            <w:tcW w:w="1460" w:type="dxa"/>
            <w:vAlign w:val="bottom"/>
            <w:tcBorders>
              <w:left w:val="single" w:sz="8" w:color="auto"/>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101.LAB*</w:t>
            </w:r>
          </w:p>
        </w:tc>
        <w:tc>
          <w:tcPr>
            <w:tcW w:w="280" w:type="dxa"/>
            <w:vAlign w:val="bottom"/>
            <w:tcBorders>
              <w:right w:val="single" w:sz="8" w:color="auto"/>
            </w:tcBorders>
          </w:tcPr>
          <w:p>
            <w:pPr>
              <w:spacing w:after="0"/>
              <w:rPr>
                <w:sz w:val="20"/>
                <w:szCs w:val="20"/>
                <w:color w:val="auto"/>
              </w:rPr>
            </w:pPr>
          </w:p>
        </w:tc>
        <w:tc>
          <w:tcPr>
            <w:tcW w:w="95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6"/>
        </w:trPr>
        <w:tc>
          <w:tcPr>
            <w:tcW w:w="98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241"/>
        </w:trPr>
        <w:tc>
          <w:tcPr>
            <w:tcW w:w="1460" w:type="dxa"/>
            <w:vAlign w:val="bottom"/>
            <w:tcBorders>
              <w:left w:val="single" w:sz="8" w:color="auto"/>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101.PRE*</w:t>
            </w:r>
          </w:p>
        </w:tc>
        <w:tc>
          <w:tcPr>
            <w:tcW w:w="280" w:type="dxa"/>
            <w:vAlign w:val="bottom"/>
            <w:tcBorders>
              <w:right w:val="single" w:sz="8" w:color="auto"/>
            </w:tcBorders>
          </w:tcPr>
          <w:p>
            <w:pPr>
              <w:spacing w:after="0"/>
              <w:rPr>
                <w:sz w:val="20"/>
                <w:szCs w:val="20"/>
                <w:color w:val="auto"/>
              </w:rPr>
            </w:pPr>
          </w:p>
        </w:tc>
        <w:tc>
          <w:tcPr>
            <w:tcW w:w="95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6"/>
        </w:trPr>
        <w:tc>
          <w:tcPr>
            <w:tcW w:w="98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231"/>
        </w:trPr>
        <w:tc>
          <w:tcPr>
            <w:tcW w:w="98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95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239"/>
        </w:trPr>
        <w:tc>
          <w:tcPr>
            <w:tcW w:w="1460" w:type="dxa"/>
            <w:vAlign w:val="bottom"/>
            <w:tcBorders>
              <w:left w:val="single" w:sz="8" w:color="auto"/>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104</w:t>
            </w:r>
          </w:p>
        </w:tc>
        <w:tc>
          <w:tcPr>
            <w:tcW w:w="280" w:type="dxa"/>
            <w:vAlign w:val="bottom"/>
            <w:tcBorders>
              <w:right w:val="single" w:sz="8" w:color="auto"/>
            </w:tcBorders>
          </w:tcPr>
          <w:p>
            <w:pPr>
              <w:spacing w:after="0"/>
              <w:rPr>
                <w:sz w:val="20"/>
                <w:szCs w:val="20"/>
                <w:color w:val="auto"/>
              </w:rPr>
            </w:pPr>
          </w:p>
        </w:tc>
        <w:tc>
          <w:tcPr>
            <w:tcW w:w="95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(included in Exhibit 101)</w:t>
            </w:r>
          </w:p>
        </w:tc>
      </w:tr>
      <w:tr>
        <w:trPr>
          <w:trHeight w:val="36"/>
        </w:trPr>
        <w:tc>
          <w:tcPr>
            <w:tcW w:w="98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87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80" w:type="dxa"/>
            <w:vAlign w:val="bottom"/>
            <w:gridSpan w:val="3"/>
          </w:tcPr>
          <w:p>
            <w:pPr>
              <w:ind w:left="3780"/>
              <w:spacing w:after="0"/>
              <w:rPr>
                <w:sz w:val="20"/>
                <w:szCs w:val="20"/>
                <w:color w:val="auto"/>
              </w:rPr>
            </w:pPr>
            <w:r>
              <w:rPr>
                <w:rFonts w:ascii="Arial" w:cs="Arial" w:eastAsia="Arial" w:hAnsi="Arial"/>
                <w:sz w:val="18"/>
                <w:szCs w:val="18"/>
                <w:color w:val="auto"/>
              </w:rPr>
              <w:t>49</w:t>
            </w:r>
          </w:p>
        </w:tc>
        <w:tc>
          <w:tcPr>
            <w:tcW w:w="18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73"/>
        </w:trPr>
        <w:tc>
          <w:tcPr>
            <w:tcW w:w="9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49" w:name="page50"/>
    <w:bookmarkEnd w:id="49"/>
    <w:p>
      <w:pPr>
        <w:jc w:val="center"/>
        <w:ind w:right="-119"/>
        <w:spacing w:after="0"/>
        <w:rPr>
          <w:sz w:val="20"/>
          <w:szCs w:val="20"/>
          <w:color w:val="auto"/>
        </w:rPr>
      </w:pPr>
      <w:r>
        <w:rPr>
          <w:rFonts w:ascii="Arial" w:cs="Arial" w:eastAsia="Arial" w:hAnsi="Arial"/>
          <w:sz w:val="23"/>
          <w:szCs w:val="23"/>
          <w:b w:val="1"/>
          <w:bCs w:val="1"/>
          <w:color w:val="auto"/>
        </w:rPr>
        <w:t>SIGNATURES</w:t>
      </w:r>
    </w:p>
    <w:p>
      <w:pPr>
        <w:spacing w:after="0" w:line="22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ENBRIDGE INC.</w:t>
      </w:r>
    </w:p>
    <w:p>
      <w:pPr>
        <w:jc w:val="center"/>
        <w:ind w:right="4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780" w:val="left"/>
          <w:tab w:leader="none" w:pos="4640" w:val="left"/>
          <w:tab w:leader="none" w:pos="52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8,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b w:val="1"/>
          <w:bCs w:val="1"/>
          <w:color w:val="auto"/>
        </w:rPr>
        <w:t>/s/ Gregory L. Ebel</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Gregory L. 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-122555</wp:posOffset>
            </wp:positionV>
            <wp:extent cx="6626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4"/>
          <w:szCs w:val="14"/>
          <w:color w:val="auto"/>
        </w:rPr>
        <w:t>President and Chief Executive Officer</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780" w:val="left"/>
          <w:tab w:leader="none" w:pos="4640" w:val="left"/>
          <w:tab w:leader="none" w:pos="52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8,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b w:val="1"/>
          <w:bCs w:val="1"/>
          <w:color w:val="auto"/>
        </w:rPr>
        <w:t>/s/ Patrick R. Murray</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Patrick R.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-122555</wp:posOffset>
            </wp:positionV>
            <wp:extent cx="6626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4"/>
          <w:szCs w:val="14"/>
          <w:color w:val="auto"/>
        </w:rPr>
        <w:t>Executive Vice President and Chief Financial Officer</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2" w:right="459" w:bottom="1440" w:gutter="0" w:footer="0" w:header="0"/>
        </w:sectPr>
      </w:pPr>
    </w:p>
    <w:bookmarkStart w:id="50" w:name="page51"/>
    <w:bookmarkEnd w:id="50"/>
    <w:p>
      <w:pPr>
        <w:jc w:val="right"/>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549275</wp:posOffset>
            </wp:positionH>
            <wp:positionV relativeFrom="page">
              <wp:posOffset>88900</wp:posOffset>
            </wp:positionV>
            <wp:extent cx="6450330" cy="50171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50330" cy="5017135"/>
                    </a:xfrm>
                    <a:prstGeom prst="rect">
                      <a:avLst/>
                    </a:prstGeom>
                    <a:noFill/>
                  </pic:spPr>
                </pic:pic>
              </a:graphicData>
            </a:graphic>
          </wp:anchor>
        </w:drawing>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ENBRIDGE INC.</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DIRECTORS’ COMPENSATION PLAN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February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Effective January 1, 2026</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4406900</wp:posOffset>
            </wp:positionV>
            <wp:extent cx="703770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404"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20"/>
          <w:szCs w:val="20"/>
          <w:b w:val="1"/>
          <w:bCs w:val="1"/>
          <w:color w:val="auto"/>
        </w:rPr>
        <w:t>ENBRIDGE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DIRECTORS’ COMPENSATION PLAN</w:t>
      </w:r>
    </w:p>
    <w:p>
      <w:pPr>
        <w:spacing w:after="0" w:line="216" w:lineRule="exact"/>
        <w:rPr>
          <w:sz w:val="20"/>
          <w:szCs w:val="20"/>
          <w:color w:val="auto"/>
        </w:rPr>
      </w:pPr>
    </w:p>
    <w:p>
      <w:pPr>
        <w:ind w:left="760" w:hanging="752"/>
        <w:spacing w:after="0"/>
        <w:tabs>
          <w:tab w:leader="none" w:pos="76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DEFINED TERMS</w:t>
      </w:r>
    </w:p>
    <w:p>
      <w:pPr>
        <w:spacing w:after="0" w:line="217" w:lineRule="exact"/>
        <w:rPr>
          <w:rFonts w:ascii="Arial" w:cs="Arial" w:eastAsia="Arial" w:hAnsi="Arial"/>
          <w:sz w:val="20"/>
          <w:szCs w:val="20"/>
          <w:b w:val="1"/>
          <w:bCs w:val="1"/>
          <w:color w:val="auto"/>
        </w:rPr>
      </w:pPr>
    </w:p>
    <w:p>
      <w:pPr>
        <w:ind w:left="760"/>
        <w:spacing w:after="0"/>
        <w:rPr>
          <w:rFonts w:ascii="Arial" w:cs="Arial" w:eastAsia="Arial" w:hAnsi="Arial"/>
          <w:sz w:val="20"/>
          <w:szCs w:val="20"/>
          <w:b w:val="1"/>
          <w:bCs w:val="1"/>
          <w:color w:val="auto"/>
        </w:rPr>
      </w:pPr>
      <w:r>
        <w:rPr>
          <w:rFonts w:ascii="Arial" w:cs="Arial" w:eastAsia="Arial" w:hAnsi="Arial"/>
          <w:sz w:val="20"/>
          <w:szCs w:val="20"/>
          <w:color w:val="auto"/>
        </w:rPr>
        <w:t>As used herein, the following terms shall have the following meanings, respectively:</w:t>
      </w:r>
    </w:p>
    <w:p>
      <w:pPr>
        <w:spacing w:after="0" w:line="200" w:lineRule="exact"/>
        <w:rPr>
          <w:rFonts w:ascii="Arial" w:cs="Arial" w:eastAsia="Arial" w:hAnsi="Arial"/>
          <w:sz w:val="20"/>
          <w:szCs w:val="20"/>
          <w:b w:val="1"/>
          <w:bCs w:val="1"/>
          <w:color w:val="auto"/>
        </w:rPr>
      </w:pPr>
    </w:p>
    <w:p>
      <w:pPr>
        <w:jc w:val="both"/>
        <w:ind w:left="760"/>
        <w:spacing w:after="0" w:line="242"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“Beneficiary” </w:t>
      </w:r>
      <w:r>
        <w:rPr>
          <w:rFonts w:ascii="Arial" w:cs="Arial" w:eastAsia="Arial" w:hAnsi="Arial"/>
          <w:sz w:val="20"/>
          <w:szCs w:val="20"/>
          <w:color w:val="auto"/>
        </w:rPr>
        <w:t>means: (i) in respect of any amount of Compensation payable to a Director in cash or Shares, any</w:t>
      </w:r>
      <w:r>
        <w:rPr>
          <w:rFonts w:ascii="Arial" w:cs="Arial" w:eastAsia="Arial" w:hAnsi="Arial"/>
          <w:sz w:val="20"/>
          <w:szCs w:val="20"/>
          <w:b w:val="1"/>
          <w:bCs w:val="1"/>
          <w:color w:val="auto"/>
        </w:rPr>
        <w:t xml:space="preserve"> </w:t>
      </w:r>
      <w:r>
        <w:rPr>
          <w:rFonts w:ascii="Arial" w:cs="Arial" w:eastAsia="Arial" w:hAnsi="Arial"/>
          <w:sz w:val="20"/>
          <w:szCs w:val="20"/>
          <w:color w:val="auto"/>
        </w:rPr>
        <w:t>person(s) designated by a Director as indicated on the Designation of Beneficiary Form, to receive any cash amount or Shares under this Plan in the event of the Director’s death, and (ii) in respect of any amount of Compensation payable to a Director in Deferred Stock Units, any individual who, on the date of a Director’s death, is a dependant or relation of such Director and is designated by a Director as indicated on the Designation of Beneficiary Form and in accordance with applicable laws to receive the value of the Deferred Stock Units credited to the Director on the date of death, or where no such individual has been validly designated by the Director, or where the individual so designated does not survive the Director, the Director’s legal representative;</w:t>
      </w:r>
    </w:p>
    <w:p>
      <w:pPr>
        <w:spacing w:after="0" w:line="183" w:lineRule="exact"/>
        <w:rPr>
          <w:rFonts w:ascii="Arial" w:cs="Arial" w:eastAsia="Arial" w:hAnsi="Arial"/>
          <w:sz w:val="20"/>
          <w:szCs w:val="20"/>
          <w:b w:val="1"/>
          <w:bCs w:val="1"/>
          <w:color w:val="auto"/>
        </w:rPr>
      </w:pPr>
    </w:p>
    <w:p>
      <w:pPr>
        <w:ind w:left="7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“Board” </w:t>
      </w:r>
      <w:r>
        <w:rPr>
          <w:rFonts w:ascii="Arial" w:cs="Arial" w:eastAsia="Arial" w:hAnsi="Arial"/>
          <w:sz w:val="20"/>
          <w:szCs w:val="20"/>
          <w:color w:val="auto"/>
        </w:rPr>
        <w:t>means the Board of Directors of the Corporation;</w:t>
      </w:r>
    </w:p>
    <w:p>
      <w:pPr>
        <w:spacing w:after="0" w:line="215" w:lineRule="exact"/>
        <w:rPr>
          <w:rFonts w:ascii="Arial" w:cs="Arial" w:eastAsia="Arial" w:hAnsi="Arial"/>
          <w:sz w:val="20"/>
          <w:szCs w:val="20"/>
          <w:b w:val="1"/>
          <w:bCs w:val="1"/>
          <w:color w:val="auto"/>
        </w:rPr>
      </w:pPr>
    </w:p>
    <w:p>
      <w:pPr>
        <w:ind w:left="760"/>
        <w:spacing w:after="0" w:line="274"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“Canadian Election Form” </w:t>
      </w:r>
      <w:r>
        <w:rPr>
          <w:rFonts w:ascii="Arial" w:cs="Arial" w:eastAsia="Arial" w:hAnsi="Arial"/>
          <w:sz w:val="20"/>
          <w:szCs w:val="20"/>
          <w:color w:val="auto"/>
        </w:rPr>
        <w:t>means the election form required to be submitted by the Canadian Taxpayers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w:t>
      </w:r>
    </w:p>
    <w:p>
      <w:pPr>
        <w:spacing w:after="0" w:line="149" w:lineRule="exact"/>
        <w:rPr>
          <w:rFonts w:ascii="Arial" w:cs="Arial" w:eastAsia="Arial" w:hAnsi="Arial"/>
          <w:sz w:val="20"/>
          <w:szCs w:val="20"/>
          <w:b w:val="1"/>
          <w:bCs w:val="1"/>
          <w:color w:val="auto"/>
        </w:rPr>
      </w:pPr>
    </w:p>
    <w:p>
      <w:pPr>
        <w:ind w:left="760" w:right="1440"/>
        <w:spacing w:after="0" w:line="457"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“Canadian Taxpayer” </w:t>
      </w:r>
      <w:r>
        <w:rPr>
          <w:rFonts w:ascii="Arial" w:cs="Arial" w:eastAsia="Arial" w:hAnsi="Arial"/>
          <w:sz w:val="20"/>
          <w:szCs w:val="20"/>
          <w:color w:val="auto"/>
        </w:rPr>
        <w:t>means a Director whose income is subject to Canadian federal income taxation;</w:t>
      </w:r>
      <w:r>
        <w:rPr>
          <w:rFonts w:ascii="Arial" w:cs="Arial" w:eastAsia="Arial" w:hAnsi="Arial"/>
          <w:sz w:val="20"/>
          <w:szCs w:val="20"/>
          <w:b w:val="1"/>
          <w:bCs w:val="1"/>
          <w:color w:val="auto"/>
        </w:rPr>
        <w:t xml:space="preserve"> “Code” </w:t>
      </w:r>
      <w:r>
        <w:rPr>
          <w:rFonts w:ascii="Arial" w:cs="Arial" w:eastAsia="Arial" w:hAnsi="Arial"/>
          <w:sz w:val="20"/>
          <w:szCs w:val="20"/>
          <w:color w:val="auto"/>
        </w:rPr>
        <w:t>means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U.S. Internal Revenue Code of 1986</w:t>
      </w:r>
      <w:r>
        <w:rPr>
          <w:rFonts w:ascii="Arial" w:cs="Arial" w:eastAsia="Arial" w:hAnsi="Arial"/>
          <w:sz w:val="20"/>
          <w:szCs w:val="20"/>
          <w:color w:val="auto"/>
        </w:rPr>
        <w:t>, as amended;</w:t>
      </w:r>
    </w:p>
    <w:p>
      <w:pPr>
        <w:spacing w:after="0" w:line="1" w:lineRule="exact"/>
        <w:rPr>
          <w:rFonts w:ascii="Arial" w:cs="Arial" w:eastAsia="Arial" w:hAnsi="Arial"/>
          <w:sz w:val="20"/>
          <w:szCs w:val="20"/>
          <w:b w:val="1"/>
          <w:bCs w:val="1"/>
          <w:color w:val="auto"/>
        </w:rPr>
      </w:pPr>
    </w:p>
    <w:p>
      <w:pPr>
        <w:ind w:left="760" w:right="5080"/>
        <w:spacing w:after="0" w:line="464"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“Comparator Group” </w:t>
      </w:r>
      <w:r>
        <w:rPr>
          <w:rFonts w:ascii="Arial" w:cs="Arial" w:eastAsia="Arial" w:hAnsi="Arial"/>
          <w:sz w:val="20"/>
          <w:szCs w:val="20"/>
          <w:color w:val="auto"/>
        </w:rPr>
        <w:t>has the meaning set forth in Section 4;</w:t>
      </w:r>
      <w:r>
        <w:rPr>
          <w:rFonts w:ascii="Arial" w:cs="Arial" w:eastAsia="Arial" w:hAnsi="Arial"/>
          <w:sz w:val="20"/>
          <w:szCs w:val="20"/>
          <w:b w:val="1"/>
          <w:bCs w:val="1"/>
          <w:color w:val="auto"/>
        </w:rPr>
        <w:t xml:space="preserve"> “Compensation” </w:t>
      </w:r>
      <w:r>
        <w:rPr>
          <w:rFonts w:ascii="Arial" w:cs="Arial" w:eastAsia="Arial" w:hAnsi="Arial"/>
          <w:sz w:val="20"/>
          <w:szCs w:val="20"/>
          <w:color w:val="auto"/>
        </w:rPr>
        <w:t>has the meaning set forth in Section 7;</w:t>
      </w:r>
    </w:p>
    <w:p>
      <w:pPr>
        <w:spacing w:after="0" w:line="1" w:lineRule="exact"/>
        <w:rPr>
          <w:rFonts w:ascii="Arial" w:cs="Arial" w:eastAsia="Arial" w:hAnsi="Arial"/>
          <w:sz w:val="20"/>
          <w:szCs w:val="20"/>
          <w:b w:val="1"/>
          <w:bCs w:val="1"/>
          <w:color w:val="auto"/>
        </w:rPr>
      </w:pPr>
    </w:p>
    <w:p>
      <w:pPr>
        <w:ind w:left="760" w:right="2980"/>
        <w:spacing w:after="0" w:line="489" w:lineRule="auto"/>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“Corporation” </w:t>
      </w:r>
      <w:r>
        <w:rPr>
          <w:rFonts w:ascii="Arial" w:cs="Arial" w:eastAsia="Arial" w:hAnsi="Arial"/>
          <w:sz w:val="19"/>
          <w:szCs w:val="19"/>
          <w:color w:val="auto"/>
        </w:rPr>
        <w:t>means Enbridge Inc., and includes any successor corporation thereto;</w:t>
      </w:r>
      <w:r>
        <w:rPr>
          <w:rFonts w:ascii="Arial" w:cs="Arial" w:eastAsia="Arial" w:hAnsi="Arial"/>
          <w:sz w:val="19"/>
          <w:szCs w:val="19"/>
          <w:b w:val="1"/>
          <w:bCs w:val="1"/>
          <w:color w:val="auto"/>
        </w:rPr>
        <w:t xml:space="preserve"> “Deferred Stock Unit Account” </w:t>
      </w:r>
      <w:r>
        <w:rPr>
          <w:rFonts w:ascii="Arial" w:cs="Arial" w:eastAsia="Arial" w:hAnsi="Arial"/>
          <w:sz w:val="19"/>
          <w:szCs w:val="19"/>
          <w:color w:val="auto"/>
        </w:rPr>
        <w:t>has the meaning set forth in Subsection 9(a);</w:t>
      </w:r>
    </w:p>
    <w:p>
      <w:pPr>
        <w:ind w:left="760" w:right="1280"/>
        <w:spacing w:after="0" w:line="457"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“Deferred Stock Units” </w:t>
      </w:r>
      <w:r>
        <w:rPr>
          <w:rFonts w:ascii="Arial" w:cs="Arial" w:eastAsia="Arial" w:hAnsi="Arial"/>
          <w:sz w:val="20"/>
          <w:szCs w:val="20"/>
          <w:color w:val="auto"/>
        </w:rPr>
        <w:t>or “</w:t>
      </w:r>
      <w:r>
        <w:rPr>
          <w:rFonts w:ascii="Arial" w:cs="Arial" w:eastAsia="Arial" w:hAnsi="Arial"/>
          <w:sz w:val="20"/>
          <w:szCs w:val="20"/>
          <w:b w:val="1"/>
          <w:bCs w:val="1"/>
          <w:color w:val="auto"/>
        </w:rPr>
        <w:t>DSUs</w:t>
      </w:r>
      <w:r>
        <w:rPr>
          <w:rFonts w:ascii="Arial" w:cs="Arial" w:eastAsia="Arial" w:hAnsi="Arial"/>
          <w:sz w:val="20"/>
          <w:szCs w:val="20"/>
          <w:color w:val="auto"/>
        </w:rPr>
        <w:t>” mean units credited to a Director in accordance with Subsection 9(b);</w:t>
      </w:r>
      <w:r>
        <w:rPr>
          <w:rFonts w:ascii="Arial" w:cs="Arial" w:eastAsia="Arial" w:hAnsi="Arial"/>
          <w:sz w:val="20"/>
          <w:szCs w:val="20"/>
          <w:b w:val="1"/>
          <w:bCs w:val="1"/>
          <w:color w:val="auto"/>
        </w:rPr>
        <w:t xml:space="preserve"> “Designation of Beneficiary Form” </w:t>
      </w:r>
      <w:r>
        <w:rPr>
          <w:rFonts w:ascii="Arial" w:cs="Arial" w:eastAsia="Arial" w:hAnsi="Arial"/>
          <w:sz w:val="20"/>
          <w:szCs w:val="20"/>
          <w:color w:val="auto"/>
        </w:rPr>
        <w:t>means the form attached hereto as Appendix “B”;</w:t>
      </w:r>
    </w:p>
    <w:p>
      <w:pPr>
        <w:spacing w:after="0" w:line="1" w:lineRule="exact"/>
        <w:rPr>
          <w:rFonts w:ascii="Arial" w:cs="Arial" w:eastAsia="Arial" w:hAnsi="Arial"/>
          <w:sz w:val="20"/>
          <w:szCs w:val="20"/>
          <w:b w:val="1"/>
          <w:bCs w:val="1"/>
          <w:color w:val="auto"/>
        </w:rPr>
      </w:pPr>
    </w:p>
    <w:p>
      <w:pPr>
        <w:ind w:left="760" w:right="6300"/>
        <w:spacing w:after="0" w:line="489" w:lineRule="auto"/>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“Director” </w:t>
      </w:r>
      <w:r>
        <w:rPr>
          <w:rFonts w:ascii="Arial" w:cs="Arial" w:eastAsia="Arial" w:hAnsi="Arial"/>
          <w:sz w:val="19"/>
          <w:szCs w:val="19"/>
          <w:color w:val="auto"/>
        </w:rPr>
        <w:t>means a director of the Corporation;</w:t>
      </w:r>
      <w:r>
        <w:rPr>
          <w:rFonts w:ascii="Arial" w:cs="Arial" w:eastAsia="Arial" w:hAnsi="Arial"/>
          <w:sz w:val="19"/>
          <w:szCs w:val="19"/>
          <w:b w:val="1"/>
          <w:bCs w:val="1"/>
          <w:color w:val="auto"/>
        </w:rPr>
        <w:t xml:space="preserve"> “DRS” </w:t>
      </w:r>
      <w:r>
        <w:rPr>
          <w:rFonts w:ascii="Arial" w:cs="Arial" w:eastAsia="Arial" w:hAnsi="Arial"/>
          <w:sz w:val="19"/>
          <w:szCs w:val="19"/>
          <w:color w:val="auto"/>
        </w:rPr>
        <w:t>means the Direct Registration System;</w:t>
      </w:r>
    </w:p>
    <w:p>
      <w:pPr>
        <w:ind w:left="760" w:right="1940"/>
        <w:spacing w:after="0" w:line="509"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“Dual-Taxed Member” </w:t>
      </w:r>
      <w:r>
        <w:rPr>
          <w:rFonts w:ascii="Arial" w:cs="Arial" w:eastAsia="Arial" w:hAnsi="Arial"/>
          <w:sz w:val="20"/>
          <w:szCs w:val="20"/>
          <w:color w:val="auto"/>
        </w:rPr>
        <w:t>means a Director that is both a U.S. Taxpayer and a Canadian Taxpayer;</w:t>
      </w:r>
      <w:r>
        <w:rPr>
          <w:rFonts w:ascii="Arial" w:cs="Arial" w:eastAsia="Arial" w:hAnsi="Arial"/>
          <w:sz w:val="20"/>
          <w:szCs w:val="20"/>
          <w:b w:val="1"/>
          <w:bCs w:val="1"/>
          <w:color w:val="auto"/>
        </w:rPr>
        <w:t xml:space="preserve"> “Governance Committee” </w:t>
      </w:r>
      <w:r>
        <w:rPr>
          <w:rFonts w:ascii="Arial" w:cs="Arial" w:eastAsia="Arial" w:hAnsi="Arial"/>
          <w:sz w:val="20"/>
          <w:szCs w:val="20"/>
          <w:color w:val="auto"/>
        </w:rPr>
        <w:t>means the Governance Committee of the Board;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2" w:name="page53"/>
    <w:bookmarkEnd w:id="52"/>
    <w:p>
      <w:pPr>
        <w:jc w:val="both"/>
        <w:ind w:left="760" w:right="20"/>
        <w:spacing w:after="0" w:line="274" w:lineRule="auto"/>
        <w:rPr>
          <w:sz w:val="20"/>
          <w:szCs w:val="20"/>
          <w:color w:val="auto"/>
        </w:rPr>
      </w:pPr>
      <w:r>
        <w:rPr>
          <w:rFonts w:ascii="Arial" w:cs="Arial" w:eastAsia="Arial" w:hAnsi="Arial"/>
          <w:sz w:val="20"/>
          <w:szCs w:val="20"/>
          <w:b w:val="1"/>
          <w:bCs w:val="1"/>
          <w:color w:val="auto"/>
        </w:rPr>
        <w:t>“Market Value”</w:t>
      </w:r>
      <w:r>
        <w:rPr>
          <w:rFonts w:ascii="Arial" w:cs="Arial" w:eastAsia="Arial" w:hAnsi="Arial"/>
          <w:sz w:val="20"/>
          <w:szCs w:val="20"/>
          <w:color w:val="auto"/>
        </w:rPr>
        <w:t>, as of a particular day, means the weighted average of the trading price for one (1) Share on The</w:t>
      </w:r>
      <w:r>
        <w:rPr>
          <w:rFonts w:ascii="Arial" w:cs="Arial" w:eastAsia="Arial" w:hAnsi="Arial"/>
          <w:sz w:val="20"/>
          <w:szCs w:val="20"/>
          <w:b w:val="1"/>
          <w:bCs w:val="1"/>
          <w:color w:val="auto"/>
        </w:rPr>
        <w:t xml:space="preserve"> </w:t>
      </w:r>
      <w:r>
        <w:rPr>
          <w:rFonts w:ascii="Arial" w:cs="Arial" w:eastAsia="Arial" w:hAnsi="Arial"/>
          <w:sz w:val="20"/>
          <w:szCs w:val="20"/>
          <w:color w:val="auto"/>
        </w:rPr>
        <w:t>Toronto Stock Exchange for the five (5) Trading Days immediately preceding that day;</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“Payment Date” </w:t>
      </w:r>
      <w:r>
        <w:rPr>
          <w:rFonts w:ascii="Arial" w:cs="Arial" w:eastAsia="Arial" w:hAnsi="Arial"/>
          <w:sz w:val="20"/>
          <w:szCs w:val="20"/>
          <w:color w:val="auto"/>
        </w:rPr>
        <w:t>means the date on which Directors would normally receive payments of Compensation;</w:t>
      </w:r>
    </w:p>
    <w:p>
      <w:pPr>
        <w:spacing w:after="0" w:line="216" w:lineRule="exact"/>
        <w:rPr>
          <w:sz w:val="20"/>
          <w:szCs w:val="20"/>
          <w:color w:val="auto"/>
        </w:rPr>
      </w:pPr>
    </w:p>
    <w:p>
      <w:pPr>
        <w:jc w:val="both"/>
        <w:ind w:left="760" w:right="20"/>
        <w:spacing w:after="0" w:line="259" w:lineRule="auto"/>
        <w:rPr>
          <w:sz w:val="20"/>
          <w:szCs w:val="20"/>
          <w:color w:val="auto"/>
        </w:rPr>
      </w:pPr>
      <w:r>
        <w:rPr>
          <w:rFonts w:ascii="Arial" w:cs="Arial" w:eastAsia="Arial" w:hAnsi="Arial"/>
          <w:sz w:val="20"/>
          <w:szCs w:val="20"/>
          <w:b w:val="1"/>
          <w:bCs w:val="1"/>
          <w:color w:val="auto"/>
        </w:rPr>
        <w:t xml:space="preserve">“Plan” </w:t>
      </w:r>
      <w:r>
        <w:rPr>
          <w:rFonts w:ascii="Arial" w:cs="Arial" w:eastAsia="Arial" w:hAnsi="Arial"/>
          <w:sz w:val="20"/>
          <w:szCs w:val="20"/>
          <w:color w:val="auto"/>
        </w:rPr>
        <w:t>means this Directors’ Compensation Plan effective January 1, 2018, as the same may be amended or varied</w:t>
      </w:r>
      <w:r>
        <w:rPr>
          <w:rFonts w:ascii="Arial" w:cs="Arial" w:eastAsia="Arial" w:hAnsi="Arial"/>
          <w:sz w:val="20"/>
          <w:szCs w:val="20"/>
          <w:b w:val="1"/>
          <w:bCs w:val="1"/>
          <w:color w:val="auto"/>
        </w:rPr>
        <w:t xml:space="preserve"> </w:t>
      </w:r>
      <w:r>
        <w:rPr>
          <w:rFonts w:ascii="Arial" w:cs="Arial" w:eastAsia="Arial" w:hAnsi="Arial"/>
          <w:sz w:val="20"/>
          <w:szCs w:val="20"/>
          <w:color w:val="auto"/>
        </w:rPr>
        <w:t>from time to time;</w:t>
      </w:r>
    </w:p>
    <w:p>
      <w:pPr>
        <w:spacing w:after="0" w:line="165" w:lineRule="exact"/>
        <w:rPr>
          <w:sz w:val="20"/>
          <w:szCs w:val="20"/>
          <w:color w:val="auto"/>
        </w:rPr>
      </w:pPr>
    </w:p>
    <w:p>
      <w:pPr>
        <w:jc w:val="both"/>
        <w:ind w:left="760"/>
        <w:spacing w:after="0" w:line="256" w:lineRule="auto"/>
        <w:rPr>
          <w:sz w:val="20"/>
          <w:szCs w:val="20"/>
          <w:color w:val="auto"/>
        </w:rPr>
      </w:pPr>
      <w:r>
        <w:rPr>
          <w:rFonts w:ascii="Arial" w:cs="Arial" w:eastAsia="Arial" w:hAnsi="Arial"/>
          <w:sz w:val="20"/>
          <w:szCs w:val="20"/>
          <w:b w:val="1"/>
          <w:bCs w:val="1"/>
          <w:color w:val="auto"/>
        </w:rPr>
        <w:t>“Retirement Date”</w:t>
      </w:r>
      <w:r>
        <w:rPr>
          <w:rFonts w:ascii="Arial" w:cs="Arial" w:eastAsia="Arial" w:hAnsi="Arial"/>
          <w:sz w:val="20"/>
          <w:szCs w:val="20"/>
          <w:color w:val="auto"/>
        </w:rPr>
        <w:t>, in respect of a Director, means the effective date on which the Director ceases to be a Director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if applicable, an employee of the Corporation and/or of a person related to the Corporation for the purposes of the </w:t>
      </w:r>
      <w:r>
        <w:rPr>
          <w:rFonts w:ascii="Arial" w:cs="Arial" w:eastAsia="Arial" w:hAnsi="Arial"/>
          <w:sz w:val="20"/>
          <w:szCs w:val="20"/>
          <w:i w:val="1"/>
          <w:iCs w:val="1"/>
          <w:color w:val="auto"/>
        </w:rPr>
        <w:t xml:space="preserve">Income Tax Act </w:t>
      </w:r>
      <w:r>
        <w:rPr>
          <w:rFonts w:ascii="Arial" w:cs="Arial" w:eastAsia="Arial" w:hAnsi="Arial"/>
          <w:sz w:val="20"/>
          <w:szCs w:val="20"/>
          <w:color w:val="auto"/>
        </w:rPr>
        <w:t>(Canada), for any reason whatsoever;</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“Share” </w:t>
      </w:r>
      <w:r>
        <w:rPr>
          <w:rFonts w:ascii="Arial" w:cs="Arial" w:eastAsia="Arial" w:hAnsi="Arial"/>
          <w:sz w:val="20"/>
          <w:szCs w:val="20"/>
          <w:color w:val="auto"/>
        </w:rPr>
        <w:t>means a common share of the Corporation;</w:t>
      </w:r>
    </w:p>
    <w:p>
      <w:pPr>
        <w:spacing w:after="0" w:line="216" w:lineRule="exact"/>
        <w:rPr>
          <w:sz w:val="20"/>
          <w:szCs w:val="20"/>
          <w:color w:val="auto"/>
        </w:rPr>
      </w:pPr>
    </w:p>
    <w:p>
      <w:pPr>
        <w:ind w:left="760" w:right="380"/>
        <w:spacing w:after="0" w:line="259" w:lineRule="auto"/>
        <w:rPr>
          <w:sz w:val="20"/>
          <w:szCs w:val="20"/>
          <w:color w:val="auto"/>
        </w:rPr>
      </w:pPr>
      <w:r>
        <w:rPr>
          <w:rFonts w:ascii="Arial" w:cs="Arial" w:eastAsia="Arial" w:hAnsi="Arial"/>
          <w:sz w:val="20"/>
          <w:szCs w:val="20"/>
          <w:b w:val="1"/>
          <w:bCs w:val="1"/>
          <w:color w:val="auto"/>
        </w:rPr>
        <w:t xml:space="preserve">“Supplemental Service Retainer” </w:t>
      </w:r>
      <w:r>
        <w:rPr>
          <w:rFonts w:ascii="Arial" w:cs="Arial" w:eastAsia="Arial" w:hAnsi="Arial"/>
          <w:sz w:val="20"/>
          <w:szCs w:val="20"/>
          <w:color w:val="auto"/>
        </w:rPr>
        <w:t>means a direct grant of DSUs to a Director in addition to such Director’s regular</w:t>
      </w:r>
      <w:r>
        <w:rPr>
          <w:rFonts w:ascii="Arial" w:cs="Arial" w:eastAsia="Arial" w:hAnsi="Arial"/>
          <w:sz w:val="20"/>
          <w:szCs w:val="20"/>
          <w:b w:val="1"/>
          <w:bCs w:val="1"/>
          <w:color w:val="auto"/>
        </w:rPr>
        <w:t xml:space="preserve"> </w:t>
      </w:r>
      <w:r>
        <w:rPr>
          <w:rFonts w:ascii="Arial" w:cs="Arial" w:eastAsia="Arial" w:hAnsi="Arial"/>
          <w:sz w:val="20"/>
          <w:szCs w:val="20"/>
          <w:color w:val="auto"/>
        </w:rPr>
        <w:t>retainer;</w:t>
      </w:r>
    </w:p>
    <w:p>
      <w:pPr>
        <w:spacing w:after="0" w:line="165" w:lineRule="exact"/>
        <w:rPr>
          <w:sz w:val="20"/>
          <w:szCs w:val="20"/>
          <w:color w:val="auto"/>
        </w:rPr>
      </w:pPr>
    </w:p>
    <w:p>
      <w:pPr>
        <w:ind w:left="760"/>
        <w:spacing w:after="0" w:line="274" w:lineRule="auto"/>
        <w:rPr>
          <w:sz w:val="20"/>
          <w:szCs w:val="20"/>
          <w:color w:val="auto"/>
        </w:rPr>
      </w:pPr>
      <w:r>
        <w:rPr>
          <w:rFonts w:ascii="Arial" w:cs="Arial" w:eastAsia="Arial" w:hAnsi="Arial"/>
          <w:sz w:val="20"/>
          <w:szCs w:val="20"/>
          <w:b w:val="1"/>
          <w:bCs w:val="1"/>
          <w:color w:val="auto"/>
        </w:rPr>
        <w:t xml:space="preserve">“Trading Day” </w:t>
      </w:r>
      <w:r>
        <w:rPr>
          <w:rFonts w:ascii="Arial" w:cs="Arial" w:eastAsia="Arial" w:hAnsi="Arial"/>
          <w:sz w:val="20"/>
          <w:szCs w:val="20"/>
          <w:color w:val="auto"/>
        </w:rPr>
        <w:t>means any day, other than a Saturday or Sunday, on which The Toronto Stock Exchange is open for</w:t>
      </w:r>
      <w:r>
        <w:rPr>
          <w:rFonts w:ascii="Arial" w:cs="Arial" w:eastAsia="Arial" w:hAnsi="Arial"/>
          <w:sz w:val="20"/>
          <w:szCs w:val="20"/>
          <w:b w:val="1"/>
          <w:bCs w:val="1"/>
          <w:color w:val="auto"/>
        </w:rPr>
        <w:t xml:space="preserve"> </w:t>
      </w:r>
      <w:r>
        <w:rPr>
          <w:rFonts w:ascii="Arial" w:cs="Arial" w:eastAsia="Arial" w:hAnsi="Arial"/>
          <w:sz w:val="20"/>
          <w:szCs w:val="20"/>
          <w:color w:val="auto"/>
        </w:rPr>
        <w:t>trading;</w:t>
      </w:r>
    </w:p>
    <w:p>
      <w:pPr>
        <w:spacing w:after="0" w:line="150" w:lineRule="exact"/>
        <w:rPr>
          <w:sz w:val="20"/>
          <w:szCs w:val="20"/>
          <w:color w:val="auto"/>
        </w:rPr>
      </w:pPr>
    </w:p>
    <w:p>
      <w:pPr>
        <w:ind w:left="760"/>
        <w:spacing w:after="0" w:line="274" w:lineRule="auto"/>
        <w:rPr>
          <w:sz w:val="20"/>
          <w:szCs w:val="20"/>
          <w:color w:val="auto"/>
        </w:rPr>
      </w:pPr>
      <w:r>
        <w:rPr>
          <w:rFonts w:ascii="Arial" w:cs="Arial" w:eastAsia="Arial" w:hAnsi="Arial"/>
          <w:sz w:val="20"/>
          <w:szCs w:val="20"/>
          <w:b w:val="1"/>
          <w:bCs w:val="1"/>
          <w:color w:val="auto"/>
        </w:rPr>
        <w:t xml:space="preserve">“Trustee” </w:t>
      </w:r>
      <w:r>
        <w:rPr>
          <w:rFonts w:ascii="Arial" w:cs="Arial" w:eastAsia="Arial" w:hAnsi="Arial"/>
          <w:sz w:val="20"/>
          <w:szCs w:val="20"/>
          <w:color w:val="auto"/>
        </w:rPr>
        <w:t>means the trustee engaged by the Corporation for purposes of facilitating the payment of Share-based</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in accordance with Section 8;</w:t>
      </w:r>
    </w:p>
    <w:p>
      <w:pPr>
        <w:spacing w:after="0" w:line="150" w:lineRule="exact"/>
        <w:rPr>
          <w:sz w:val="20"/>
          <w:szCs w:val="20"/>
          <w:color w:val="auto"/>
        </w:rPr>
      </w:pPr>
    </w:p>
    <w:p>
      <w:pPr>
        <w:ind w:left="760" w:right="400"/>
        <w:spacing w:after="0" w:line="457" w:lineRule="auto"/>
        <w:rPr>
          <w:sz w:val="20"/>
          <w:szCs w:val="20"/>
          <w:color w:val="auto"/>
        </w:rPr>
      </w:pPr>
      <w:r>
        <w:rPr>
          <w:rFonts w:ascii="Arial" w:cs="Arial" w:eastAsia="Arial" w:hAnsi="Arial"/>
          <w:sz w:val="20"/>
          <w:szCs w:val="20"/>
          <w:b w:val="1"/>
          <w:bCs w:val="1"/>
          <w:color w:val="auto"/>
        </w:rPr>
        <w:t xml:space="preserve">“U.S. Election Form” </w:t>
      </w:r>
      <w:r>
        <w:rPr>
          <w:rFonts w:ascii="Arial" w:cs="Arial" w:eastAsia="Arial" w:hAnsi="Arial"/>
          <w:sz w:val="20"/>
          <w:szCs w:val="20"/>
          <w:color w:val="auto"/>
        </w:rPr>
        <w:t>means the election form required to be submitted by U.S. Taxpayers to the Corporation; and</w:t>
      </w:r>
      <w:r>
        <w:rPr>
          <w:rFonts w:ascii="Arial" w:cs="Arial" w:eastAsia="Arial" w:hAnsi="Arial"/>
          <w:sz w:val="20"/>
          <w:szCs w:val="20"/>
          <w:b w:val="1"/>
          <w:bCs w:val="1"/>
          <w:color w:val="auto"/>
        </w:rPr>
        <w:t xml:space="preserve"> “U.S. Taxpayer” </w:t>
      </w:r>
      <w:r>
        <w:rPr>
          <w:rFonts w:ascii="Arial" w:cs="Arial" w:eastAsia="Arial" w:hAnsi="Arial"/>
          <w:sz w:val="20"/>
          <w:szCs w:val="20"/>
          <w:color w:val="auto"/>
        </w:rPr>
        <w:t>means a Director whose income is subject to U.S. federal income taxation.</w:t>
      </w:r>
    </w:p>
    <w:p>
      <w:pPr>
        <w:spacing w:after="0" w:line="2" w:lineRule="exact"/>
        <w:rPr>
          <w:sz w:val="20"/>
          <w:szCs w:val="20"/>
          <w:color w:val="auto"/>
        </w:rPr>
      </w:pPr>
    </w:p>
    <w:p>
      <w:pPr>
        <w:ind w:left="760" w:hanging="752"/>
        <w:spacing w:after="0"/>
        <w:tabs>
          <w:tab w:leader="none" w:pos="76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PURPOSE AND OBJECTIVES</w:t>
      </w:r>
    </w:p>
    <w:p>
      <w:pPr>
        <w:spacing w:after="0" w:line="217" w:lineRule="exact"/>
        <w:rPr>
          <w:rFonts w:ascii="Arial" w:cs="Arial" w:eastAsia="Arial" w:hAnsi="Arial"/>
          <w:sz w:val="20"/>
          <w:szCs w:val="20"/>
          <w:b w:val="1"/>
          <w:bCs w:val="1"/>
          <w:color w:val="auto"/>
        </w:rPr>
      </w:pPr>
    </w:p>
    <w:p>
      <w:pPr>
        <w:jc w:val="both"/>
        <w:ind w:left="1500" w:hanging="743"/>
        <w:spacing w:after="0" w:line="255" w:lineRule="auto"/>
        <w:tabs>
          <w:tab w:leader="none" w:pos="1500"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purpose of this Plan is to provide a compensation system for Directors. This Plan applies only to the members of the Board and does not apply to board members of affiliate organizations or employees of the Corporation or any of its subsidiaries.</w:t>
      </w:r>
    </w:p>
    <w:p>
      <w:pPr>
        <w:spacing w:after="0" w:line="171" w:lineRule="exact"/>
        <w:rPr>
          <w:rFonts w:ascii="Arial" w:cs="Arial" w:eastAsia="Arial" w:hAnsi="Arial"/>
          <w:sz w:val="20"/>
          <w:szCs w:val="20"/>
          <w:color w:val="auto"/>
        </w:rPr>
      </w:pPr>
    </w:p>
    <w:p>
      <w:pPr>
        <w:ind w:left="1500" w:hanging="743"/>
        <w:spacing w:after="0"/>
        <w:tabs>
          <w:tab w:leader="none" w:pos="1500"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objectives of this Plan are:</w:t>
      </w:r>
    </w:p>
    <w:p>
      <w:pPr>
        <w:spacing w:after="0" w:line="215" w:lineRule="exact"/>
        <w:rPr>
          <w:rFonts w:ascii="Arial" w:cs="Arial" w:eastAsia="Arial" w:hAnsi="Arial"/>
          <w:sz w:val="20"/>
          <w:szCs w:val="20"/>
          <w:color w:val="auto"/>
        </w:rPr>
      </w:pPr>
    </w:p>
    <w:p>
      <w:pPr>
        <w:ind w:left="2260" w:hanging="755"/>
        <w:spacing w:after="0" w:line="257" w:lineRule="auto"/>
        <w:tabs>
          <w:tab w:leader="none" w:pos="2260" w:val="left"/>
        </w:tabs>
        <w:numPr>
          <w:ilvl w:val="2"/>
          <w:numId w:val="27"/>
        </w:numPr>
        <w:rPr>
          <w:rFonts w:ascii="Arial" w:cs="Arial" w:eastAsia="Arial" w:hAnsi="Arial"/>
          <w:sz w:val="20"/>
          <w:szCs w:val="20"/>
          <w:color w:val="auto"/>
        </w:rPr>
      </w:pPr>
      <w:r>
        <w:rPr>
          <w:rFonts w:ascii="Arial" w:cs="Arial" w:eastAsia="Arial" w:hAnsi="Arial"/>
          <w:sz w:val="20"/>
          <w:szCs w:val="20"/>
          <w:color w:val="auto"/>
        </w:rPr>
        <w:t>to compensate Directors commensurate with the risks, responsibilities and time commitments assumed by Board members;</w:t>
      </w:r>
    </w:p>
    <w:p>
      <w:pPr>
        <w:spacing w:after="0" w:line="168" w:lineRule="exact"/>
        <w:rPr>
          <w:rFonts w:ascii="Arial" w:cs="Arial" w:eastAsia="Arial" w:hAnsi="Arial"/>
          <w:sz w:val="20"/>
          <w:szCs w:val="20"/>
          <w:color w:val="auto"/>
        </w:rPr>
      </w:pPr>
    </w:p>
    <w:p>
      <w:pPr>
        <w:ind w:left="2260" w:hanging="755"/>
        <w:spacing w:after="0"/>
        <w:tabs>
          <w:tab w:leader="none" w:pos="2260" w:val="left"/>
        </w:tabs>
        <w:numPr>
          <w:ilvl w:val="2"/>
          <w:numId w:val="27"/>
        </w:numPr>
        <w:rPr>
          <w:rFonts w:ascii="Arial" w:cs="Arial" w:eastAsia="Arial" w:hAnsi="Arial"/>
          <w:sz w:val="20"/>
          <w:szCs w:val="20"/>
          <w:color w:val="auto"/>
        </w:rPr>
      </w:pPr>
      <w:r>
        <w:rPr>
          <w:rFonts w:ascii="Arial" w:cs="Arial" w:eastAsia="Arial" w:hAnsi="Arial"/>
          <w:sz w:val="20"/>
          <w:szCs w:val="20"/>
          <w:color w:val="auto"/>
        </w:rPr>
        <w:t>to attract and retain the services of the most qualified individuals to serve on the Board;</w:t>
      </w:r>
    </w:p>
    <w:p>
      <w:pPr>
        <w:spacing w:after="0" w:line="215" w:lineRule="exact"/>
        <w:rPr>
          <w:rFonts w:ascii="Arial" w:cs="Arial" w:eastAsia="Arial" w:hAnsi="Arial"/>
          <w:sz w:val="20"/>
          <w:szCs w:val="20"/>
          <w:color w:val="auto"/>
        </w:rPr>
      </w:pPr>
    </w:p>
    <w:p>
      <w:pPr>
        <w:ind w:left="2260" w:hanging="755"/>
        <w:spacing w:after="0"/>
        <w:tabs>
          <w:tab w:leader="none" w:pos="2260" w:val="left"/>
        </w:tabs>
        <w:numPr>
          <w:ilvl w:val="2"/>
          <w:numId w:val="27"/>
        </w:numPr>
        <w:rPr>
          <w:rFonts w:ascii="Arial" w:cs="Arial" w:eastAsia="Arial" w:hAnsi="Arial"/>
          <w:sz w:val="20"/>
          <w:szCs w:val="20"/>
          <w:color w:val="auto"/>
        </w:rPr>
      </w:pPr>
      <w:r>
        <w:rPr>
          <w:rFonts w:ascii="Arial" w:cs="Arial" w:eastAsia="Arial" w:hAnsi="Arial"/>
          <w:sz w:val="20"/>
          <w:szCs w:val="20"/>
          <w:color w:val="auto"/>
        </w:rPr>
        <w:t>to align the interests of Directors with the Corporation’s shareholders;</w:t>
      </w:r>
    </w:p>
    <w:p>
      <w:pPr>
        <w:spacing w:after="0" w:line="215" w:lineRule="exact"/>
        <w:rPr>
          <w:rFonts w:ascii="Arial" w:cs="Arial" w:eastAsia="Arial" w:hAnsi="Arial"/>
          <w:sz w:val="20"/>
          <w:szCs w:val="20"/>
          <w:color w:val="auto"/>
        </w:rPr>
      </w:pPr>
    </w:p>
    <w:p>
      <w:pPr>
        <w:ind w:left="2260" w:hanging="755"/>
        <w:spacing w:after="0" w:line="271" w:lineRule="auto"/>
        <w:tabs>
          <w:tab w:leader="none" w:pos="2260" w:val="left"/>
        </w:tabs>
        <w:numPr>
          <w:ilvl w:val="2"/>
          <w:numId w:val="27"/>
        </w:numPr>
        <w:rPr>
          <w:rFonts w:ascii="Arial" w:cs="Arial" w:eastAsia="Arial" w:hAnsi="Arial"/>
          <w:sz w:val="20"/>
          <w:szCs w:val="20"/>
          <w:color w:val="auto"/>
        </w:rPr>
      </w:pPr>
      <w:r>
        <w:rPr>
          <w:rFonts w:ascii="Arial" w:cs="Arial" w:eastAsia="Arial" w:hAnsi="Arial"/>
          <w:sz w:val="20"/>
          <w:szCs w:val="20"/>
          <w:color w:val="auto"/>
        </w:rPr>
        <w:t>to provide competitive levels of compensation by considering various pay components typically provided to directors; and</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3" w:name="page54"/>
    <w:bookmarkEnd w:id="53"/>
    <w:p>
      <w:pPr>
        <w:ind w:left="2260" w:hanging="755"/>
        <w:spacing w:after="0"/>
        <w:tabs>
          <w:tab w:leader="none" w:pos="2260" w:val="left"/>
        </w:tabs>
        <w:numPr>
          <w:ilvl w:val="2"/>
          <w:numId w:val="28"/>
        </w:numPr>
        <w:rPr>
          <w:rFonts w:ascii="Arial" w:cs="Arial" w:eastAsia="Arial" w:hAnsi="Arial"/>
          <w:sz w:val="20"/>
          <w:szCs w:val="20"/>
          <w:color w:val="auto"/>
        </w:rPr>
      </w:pPr>
      <w:r>
        <w:rPr>
          <w:rFonts w:ascii="Arial" w:cs="Arial" w:eastAsia="Arial" w:hAnsi="Arial"/>
          <w:sz w:val="20"/>
          <w:szCs w:val="20"/>
          <w:color w:val="auto"/>
        </w:rPr>
        <w:t>to deliver such compensation in a tax effective manner.</w:t>
      </w:r>
    </w:p>
    <w:p>
      <w:pPr>
        <w:spacing w:after="0" w:line="215" w:lineRule="exact"/>
        <w:rPr>
          <w:rFonts w:ascii="Arial" w:cs="Arial" w:eastAsia="Arial" w:hAnsi="Arial"/>
          <w:sz w:val="20"/>
          <w:szCs w:val="20"/>
          <w:color w:val="auto"/>
        </w:rPr>
      </w:pPr>
    </w:p>
    <w:p>
      <w:pPr>
        <w:ind w:left="1500" w:hanging="743"/>
        <w:spacing w:after="0" w:line="271" w:lineRule="auto"/>
        <w:tabs>
          <w:tab w:leader="none" w:pos="1500"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Board provides oversight and stewardship over this Plan through the Governance Committee and has overall responsibility for determining the philosophical framework of the Directors’ compensation program.</w:t>
      </w:r>
    </w:p>
    <w:p>
      <w:pPr>
        <w:spacing w:after="0" w:line="153" w:lineRule="exact"/>
        <w:rPr>
          <w:rFonts w:ascii="Arial" w:cs="Arial" w:eastAsia="Arial" w:hAnsi="Arial"/>
          <w:sz w:val="20"/>
          <w:szCs w:val="20"/>
          <w:color w:val="auto"/>
        </w:rPr>
      </w:pPr>
    </w:p>
    <w:p>
      <w:pPr>
        <w:ind w:left="760" w:hanging="752"/>
        <w:spacing w:after="0"/>
        <w:tabs>
          <w:tab w:leader="none" w:pos="76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ADMINISTRATION</w:t>
      </w:r>
    </w:p>
    <w:p>
      <w:pPr>
        <w:spacing w:after="0" w:line="204" w:lineRule="exact"/>
        <w:rPr>
          <w:rFonts w:ascii="Arial" w:cs="Arial" w:eastAsia="Arial" w:hAnsi="Arial"/>
          <w:sz w:val="20"/>
          <w:szCs w:val="20"/>
          <w:b w:val="1"/>
          <w:bCs w:val="1"/>
          <w:color w:val="auto"/>
        </w:rPr>
      </w:pPr>
    </w:p>
    <w:p>
      <w:pPr>
        <w:jc w:val="both"/>
        <w:ind w:left="760"/>
        <w:spacing w:after="0" w:line="245" w:lineRule="auto"/>
        <w:rPr>
          <w:rFonts w:ascii="Arial" w:cs="Arial" w:eastAsia="Arial" w:hAnsi="Arial"/>
          <w:sz w:val="20"/>
          <w:szCs w:val="20"/>
          <w:b w:val="1"/>
          <w:bCs w:val="1"/>
          <w:color w:val="auto"/>
        </w:rPr>
      </w:pPr>
      <w:r>
        <w:rPr>
          <w:rFonts w:ascii="Arial" w:cs="Arial" w:eastAsia="Arial" w:hAnsi="Arial"/>
          <w:sz w:val="20"/>
          <w:szCs w:val="20"/>
          <w:color w:val="auto"/>
        </w:rPr>
        <w:t>The Governance Committee will administer this Plan in its discretion. The Governance Committee shall have the power to interpret the provisions of this Plan and to make regulations and formulate administrative provisions for its implementation, and to make such changes in the regulations and administrative provisions as, from time to time, the Governance Committee deems proper and in the best interests of the Corporation. Such regulations and provisions may include the delegation to any Director(s) or any officer(s) of the Corporation of such administrative duties and powers of the Governance Committee as it may see fit.</w:t>
      </w:r>
    </w:p>
    <w:p>
      <w:pPr>
        <w:spacing w:after="0" w:line="168" w:lineRule="exact"/>
        <w:rPr>
          <w:rFonts w:ascii="Arial" w:cs="Arial" w:eastAsia="Arial" w:hAnsi="Arial"/>
          <w:sz w:val="20"/>
          <w:szCs w:val="20"/>
          <w:b w:val="1"/>
          <w:bCs w:val="1"/>
          <w:color w:val="auto"/>
        </w:rPr>
      </w:pPr>
    </w:p>
    <w:p>
      <w:pPr>
        <w:ind w:left="760" w:hanging="752"/>
        <w:spacing w:after="0"/>
        <w:tabs>
          <w:tab w:leader="none" w:pos="76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EXTERNAL BENCHMARKING</w:t>
      </w:r>
    </w:p>
    <w:p>
      <w:pPr>
        <w:spacing w:after="0" w:line="217" w:lineRule="exact"/>
        <w:rPr>
          <w:rFonts w:ascii="Arial" w:cs="Arial" w:eastAsia="Arial" w:hAnsi="Arial"/>
          <w:sz w:val="20"/>
          <w:szCs w:val="20"/>
          <w:b w:val="1"/>
          <w:bCs w:val="1"/>
          <w:color w:val="auto"/>
        </w:rPr>
      </w:pPr>
    </w:p>
    <w:p>
      <w:pPr>
        <w:jc w:val="both"/>
        <w:ind w:left="1500" w:hanging="743"/>
        <w:spacing w:after="0" w:line="250" w:lineRule="auto"/>
        <w:tabs>
          <w:tab w:leader="none" w:pos="1500"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Board supports maintaining a level of compensation for Directors that is competitive with compensation levels paid to directors of comparable public corporations; reflects the risks accompanying Board membership and the time commitments and responsibilities required of Directors, committee members and Board or Committee Chairs; and reflects the size and complexity of the Corporation’s business.</w:t>
      </w:r>
    </w:p>
    <w:p>
      <w:pPr>
        <w:spacing w:after="0" w:line="175" w:lineRule="exact"/>
        <w:rPr>
          <w:rFonts w:ascii="Arial" w:cs="Arial" w:eastAsia="Arial" w:hAnsi="Arial"/>
          <w:sz w:val="20"/>
          <w:szCs w:val="20"/>
          <w:color w:val="auto"/>
        </w:rPr>
      </w:pPr>
    </w:p>
    <w:p>
      <w:pPr>
        <w:jc w:val="both"/>
        <w:ind w:left="1500" w:hanging="743"/>
        <w:spacing w:after="0" w:line="245" w:lineRule="auto"/>
        <w:tabs>
          <w:tab w:leader="none" w:pos="1500" w:val="left"/>
        </w:tabs>
        <w:numPr>
          <w:ilvl w:val="1"/>
          <w:numId w:val="30"/>
        </w:numPr>
        <w:rPr>
          <w:rFonts w:ascii="Arial" w:cs="Arial" w:eastAsia="Arial" w:hAnsi="Arial"/>
          <w:sz w:val="20"/>
          <w:szCs w:val="20"/>
          <w:color w:val="auto"/>
        </w:rPr>
      </w:pPr>
      <w:r>
        <w:rPr>
          <w:rFonts w:ascii="Arial" w:cs="Arial" w:eastAsia="Arial" w:hAnsi="Arial"/>
          <w:sz w:val="20"/>
          <w:szCs w:val="20"/>
          <w:color w:val="auto"/>
        </w:rPr>
        <w:t xml:space="preserve">The Governance Committee will, from time to time, with the assistance of qualified external experts in the area of compensation benchmarking, review and determine the appropriate comparable public corporations against which comparisons are made (the </w:t>
      </w:r>
      <w:r>
        <w:rPr>
          <w:rFonts w:ascii="Arial" w:cs="Arial" w:eastAsia="Arial" w:hAnsi="Arial"/>
          <w:sz w:val="20"/>
          <w:szCs w:val="20"/>
          <w:b w:val="1"/>
          <w:bCs w:val="1"/>
          <w:color w:val="auto"/>
        </w:rPr>
        <w:t>“Comparator Group”</w:t>
      </w:r>
      <w:r>
        <w:rPr>
          <w:rFonts w:ascii="Arial" w:cs="Arial" w:eastAsia="Arial" w:hAnsi="Arial"/>
          <w:sz w:val="20"/>
          <w:szCs w:val="20"/>
          <w:color w:val="auto"/>
        </w:rPr>
        <w:t>) with the intention that such Comparator Group be consistent with the periodic evaluation of executive management compensation.</w:t>
      </w:r>
    </w:p>
    <w:p>
      <w:pPr>
        <w:spacing w:after="0" w:line="181" w:lineRule="exact"/>
        <w:rPr>
          <w:rFonts w:ascii="Arial" w:cs="Arial" w:eastAsia="Arial" w:hAnsi="Arial"/>
          <w:sz w:val="20"/>
          <w:szCs w:val="20"/>
          <w:color w:val="auto"/>
        </w:rPr>
      </w:pPr>
    </w:p>
    <w:p>
      <w:pPr>
        <w:jc w:val="both"/>
        <w:ind w:left="1500" w:hanging="743"/>
        <w:spacing w:after="0" w:line="250" w:lineRule="auto"/>
        <w:tabs>
          <w:tab w:leader="none" w:pos="1500" w:val="left"/>
        </w:tabs>
        <w:numPr>
          <w:ilvl w:val="1"/>
          <w:numId w:val="30"/>
        </w:numPr>
        <w:rPr>
          <w:rFonts w:ascii="Arial" w:cs="Arial" w:eastAsia="Arial" w:hAnsi="Arial"/>
          <w:sz w:val="20"/>
          <w:szCs w:val="20"/>
          <w:color w:val="auto"/>
        </w:rPr>
      </w:pPr>
      <w:r>
        <w:rPr>
          <w:rFonts w:ascii="Arial" w:cs="Arial" w:eastAsia="Arial" w:hAnsi="Arial"/>
          <w:sz w:val="20"/>
          <w:szCs w:val="20"/>
          <w:color w:val="auto"/>
        </w:rPr>
        <w:t>To the extent possible and appropriate, the Governance Committee shall align the Comparator Group with the group used to benchmark executive management compensation practices as approved by the Human Resources &amp; Compensation Committee (refer to Enbridge Inc. senior management compensation policy C</w:t>
      </w:r>
      <w:r>
        <w:rPr>
          <w:rFonts w:ascii="Arial" w:cs="Arial" w:eastAsia="Arial" w:hAnsi="Arial"/>
          <w:sz w:val="20"/>
          <w:szCs w:val="20"/>
          <w:i w:val="1"/>
          <w:iCs w:val="1"/>
          <w:color w:val="auto"/>
        </w:rPr>
        <w:t>ompensation Comparators)</w:t>
      </w:r>
      <w:r>
        <w:rPr>
          <w:rFonts w:ascii="Arial" w:cs="Arial" w:eastAsia="Arial" w:hAnsi="Arial"/>
          <w:sz w:val="20"/>
          <w:szCs w:val="20"/>
          <w:color w:val="auto"/>
        </w:rPr>
        <w:t>.</w:t>
      </w:r>
    </w:p>
    <w:p>
      <w:pPr>
        <w:spacing w:after="0" w:line="160" w:lineRule="exact"/>
        <w:rPr>
          <w:rFonts w:ascii="Arial" w:cs="Arial" w:eastAsia="Arial" w:hAnsi="Arial"/>
          <w:sz w:val="20"/>
          <w:szCs w:val="20"/>
          <w:color w:val="auto"/>
        </w:rPr>
      </w:pPr>
    </w:p>
    <w:p>
      <w:pPr>
        <w:ind w:left="760" w:hanging="752"/>
        <w:spacing w:after="0"/>
        <w:tabs>
          <w:tab w:leader="none" w:pos="76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COMMUNICATION</w:t>
      </w:r>
    </w:p>
    <w:p>
      <w:pPr>
        <w:spacing w:after="0" w:line="217" w:lineRule="exact"/>
        <w:rPr>
          <w:rFonts w:ascii="Arial" w:cs="Arial" w:eastAsia="Arial" w:hAnsi="Arial"/>
          <w:sz w:val="20"/>
          <w:szCs w:val="20"/>
          <w:b w:val="1"/>
          <w:bCs w:val="1"/>
          <w:color w:val="auto"/>
        </w:rPr>
      </w:pPr>
    </w:p>
    <w:p>
      <w:pPr>
        <w:ind w:left="760"/>
        <w:spacing w:after="0" w:line="271" w:lineRule="auto"/>
        <w:rPr>
          <w:rFonts w:ascii="Arial" w:cs="Arial" w:eastAsia="Arial" w:hAnsi="Arial"/>
          <w:sz w:val="20"/>
          <w:szCs w:val="20"/>
          <w:b w:val="1"/>
          <w:bCs w:val="1"/>
          <w:color w:val="auto"/>
        </w:rPr>
      </w:pPr>
      <w:r>
        <w:rPr>
          <w:rFonts w:ascii="Arial" w:cs="Arial" w:eastAsia="Arial" w:hAnsi="Arial"/>
          <w:sz w:val="20"/>
          <w:szCs w:val="20"/>
          <w:color w:val="auto"/>
        </w:rPr>
        <w:t>The Board recognizes that Compensation is an important component of corporate governance and is committed to ensuring that the material terms of the compensation program are properly disclosed to shareholders and regulators.</w:t>
      </w:r>
    </w:p>
    <w:p>
      <w:pPr>
        <w:spacing w:after="0" w:line="153" w:lineRule="exact"/>
        <w:rPr>
          <w:rFonts w:ascii="Arial" w:cs="Arial" w:eastAsia="Arial" w:hAnsi="Arial"/>
          <w:sz w:val="20"/>
          <w:szCs w:val="20"/>
          <w:b w:val="1"/>
          <w:bCs w:val="1"/>
          <w:color w:val="auto"/>
        </w:rPr>
      </w:pPr>
    </w:p>
    <w:p>
      <w:pPr>
        <w:ind w:left="760" w:hanging="752"/>
        <w:spacing w:after="0"/>
        <w:tabs>
          <w:tab w:leader="none" w:pos="76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APPLICATION</w:t>
      </w:r>
    </w:p>
    <w:p>
      <w:pPr>
        <w:spacing w:after="0" w:line="217" w:lineRule="exact"/>
        <w:rPr>
          <w:rFonts w:ascii="Arial" w:cs="Arial" w:eastAsia="Arial" w:hAnsi="Arial"/>
          <w:sz w:val="20"/>
          <w:szCs w:val="20"/>
          <w:b w:val="1"/>
          <w:bCs w:val="1"/>
          <w:color w:val="auto"/>
        </w:rPr>
      </w:pPr>
    </w:p>
    <w:p>
      <w:pPr>
        <w:ind w:left="760" w:right="20"/>
        <w:spacing w:after="0" w:line="271" w:lineRule="auto"/>
        <w:rPr>
          <w:rFonts w:ascii="Arial" w:cs="Arial" w:eastAsia="Arial" w:hAnsi="Arial"/>
          <w:sz w:val="20"/>
          <w:szCs w:val="20"/>
          <w:b w:val="1"/>
          <w:bCs w:val="1"/>
          <w:color w:val="auto"/>
        </w:rPr>
      </w:pPr>
      <w:r>
        <w:rPr>
          <w:rFonts w:ascii="Arial" w:cs="Arial" w:eastAsia="Arial" w:hAnsi="Arial"/>
          <w:sz w:val="20"/>
          <w:szCs w:val="20"/>
          <w:color w:val="auto"/>
        </w:rPr>
        <w:t>This Plan applies to each individual while serving as a Director and, subject to Subsections 10(c), (d), (e), (f) and 11(a) (ii), (c), (d) and (e), shall cease to apply on the Director’s Retirement Date.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4" w:name="page55"/>
    <w:bookmarkEnd w:id="54"/>
    <w:p>
      <w:pPr>
        <w:ind w:left="760" w:hanging="752"/>
        <w:spacing w:after="0"/>
        <w:tabs>
          <w:tab w:leader="none" w:pos="76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DIRECTORS’ COMPENSATION</w:t>
      </w:r>
    </w:p>
    <w:p>
      <w:pPr>
        <w:spacing w:after="0" w:line="217" w:lineRule="exact"/>
        <w:rPr>
          <w:rFonts w:ascii="Arial" w:cs="Arial" w:eastAsia="Arial" w:hAnsi="Arial"/>
          <w:sz w:val="20"/>
          <w:szCs w:val="20"/>
          <w:b w:val="1"/>
          <w:bCs w:val="1"/>
          <w:color w:val="auto"/>
        </w:rPr>
      </w:pPr>
    </w:p>
    <w:p>
      <w:pPr>
        <w:ind w:left="1500" w:hanging="743"/>
        <w:spacing w:after="0"/>
        <w:tabs>
          <w:tab w:leader="none" w:pos="1500" w:val="left"/>
        </w:tabs>
        <w:numPr>
          <w:ilvl w:val="1"/>
          <w:numId w:val="31"/>
        </w:numPr>
        <w:rPr>
          <w:rFonts w:ascii="Arial" w:cs="Arial" w:eastAsia="Arial" w:hAnsi="Arial"/>
          <w:sz w:val="20"/>
          <w:szCs w:val="20"/>
          <w:color w:val="auto"/>
        </w:rPr>
      </w:pPr>
      <w:r>
        <w:rPr>
          <w:rFonts w:ascii="Arial" w:cs="Arial" w:eastAsia="Arial" w:hAnsi="Arial"/>
          <w:sz w:val="20"/>
          <w:szCs w:val="20"/>
          <w:u w:val="single" w:color="auto"/>
          <w:color w:val="auto"/>
        </w:rPr>
        <w:t>General</w:t>
      </w:r>
    </w:p>
    <w:p>
      <w:pPr>
        <w:spacing w:after="0" w:line="215" w:lineRule="exact"/>
        <w:rPr>
          <w:rFonts w:ascii="Arial" w:cs="Arial" w:eastAsia="Arial" w:hAnsi="Arial"/>
          <w:sz w:val="20"/>
          <w:szCs w:val="20"/>
          <w:color w:val="auto"/>
        </w:rPr>
      </w:pPr>
    </w:p>
    <w:p>
      <w:pPr>
        <w:jc w:val="both"/>
        <w:ind w:left="1500"/>
        <w:spacing w:after="0" w:line="243" w:lineRule="auto"/>
        <w:rPr>
          <w:rFonts w:ascii="Arial" w:cs="Arial" w:eastAsia="Arial" w:hAnsi="Arial"/>
          <w:sz w:val="20"/>
          <w:szCs w:val="20"/>
          <w:color w:val="auto"/>
        </w:rPr>
      </w:pPr>
      <w:r>
        <w:rPr>
          <w:rFonts w:ascii="Arial" w:cs="Arial" w:eastAsia="Arial" w:hAnsi="Arial"/>
          <w:sz w:val="20"/>
          <w:szCs w:val="20"/>
          <w:color w:val="auto"/>
        </w:rPr>
        <w:t>The Board, on the recommendation of the Governance Committee, shall determine from time to time the amount of compensation to be paid to Directors (the “</w:t>
      </w:r>
      <w:r>
        <w:rPr>
          <w:rFonts w:ascii="Arial" w:cs="Arial" w:eastAsia="Arial" w:hAnsi="Arial"/>
          <w:sz w:val="20"/>
          <w:szCs w:val="20"/>
          <w:b w:val="1"/>
          <w:bCs w:val="1"/>
          <w:color w:val="auto"/>
        </w:rPr>
        <w:t>Compensation</w:t>
      </w:r>
      <w:r>
        <w:rPr>
          <w:rFonts w:ascii="Arial" w:cs="Arial" w:eastAsia="Arial" w:hAnsi="Arial"/>
          <w:sz w:val="20"/>
          <w:szCs w:val="20"/>
          <w:color w:val="auto"/>
        </w:rPr>
        <w:t>”) including, without limitation, amounts in respect of retainers (including the retainer for the Chair of the Corporation and Chairs of committees of the Board), Board meeting and committee meeting attendance fees, and any other amounts which the Board in its discretion considers to be appropriate. In addition, the Board shall determine the amount of expenses, if any, for which the Directors will be reimbursed.</w:t>
      </w:r>
    </w:p>
    <w:p>
      <w:pPr>
        <w:spacing w:after="0" w:line="182" w:lineRule="exact"/>
        <w:rPr>
          <w:rFonts w:ascii="Arial" w:cs="Arial" w:eastAsia="Arial" w:hAnsi="Arial"/>
          <w:sz w:val="20"/>
          <w:szCs w:val="20"/>
          <w:color w:val="auto"/>
        </w:rPr>
      </w:pPr>
    </w:p>
    <w:p>
      <w:pPr>
        <w:ind w:left="1500" w:hanging="743"/>
        <w:spacing w:after="0"/>
        <w:tabs>
          <w:tab w:leader="none" w:pos="1500" w:val="left"/>
        </w:tabs>
        <w:numPr>
          <w:ilvl w:val="1"/>
          <w:numId w:val="31"/>
        </w:numPr>
        <w:rPr>
          <w:rFonts w:ascii="Arial" w:cs="Arial" w:eastAsia="Arial" w:hAnsi="Arial"/>
          <w:sz w:val="20"/>
          <w:szCs w:val="20"/>
          <w:color w:val="auto"/>
        </w:rPr>
      </w:pPr>
      <w:r>
        <w:rPr>
          <w:rFonts w:ascii="Arial" w:cs="Arial" w:eastAsia="Arial" w:hAnsi="Arial"/>
          <w:sz w:val="20"/>
          <w:szCs w:val="20"/>
          <w:u w:val="single" w:color="auto"/>
          <w:color w:val="auto"/>
        </w:rPr>
        <w:t>Fee Structure and Payment Particulars</w:t>
      </w:r>
    </w:p>
    <w:p>
      <w:pPr>
        <w:spacing w:after="0" w:line="215" w:lineRule="exact"/>
        <w:rPr>
          <w:rFonts w:ascii="Arial" w:cs="Arial" w:eastAsia="Arial" w:hAnsi="Arial"/>
          <w:sz w:val="20"/>
          <w:szCs w:val="20"/>
          <w:color w:val="auto"/>
        </w:rPr>
      </w:pPr>
    </w:p>
    <w:p>
      <w:pPr>
        <w:jc w:val="both"/>
        <w:ind w:left="2260" w:hanging="755"/>
        <w:spacing w:after="0" w:line="233" w:lineRule="auto"/>
        <w:tabs>
          <w:tab w:leader="none" w:pos="2260" w:val="left"/>
        </w:tabs>
        <w:numPr>
          <w:ilvl w:val="2"/>
          <w:numId w:val="31"/>
        </w:numPr>
        <w:rPr>
          <w:rFonts w:ascii="Arial" w:cs="Arial" w:eastAsia="Arial" w:hAnsi="Arial"/>
          <w:sz w:val="20"/>
          <w:szCs w:val="20"/>
          <w:color w:val="auto"/>
        </w:rPr>
      </w:pPr>
      <w:r>
        <w:rPr>
          <w:rFonts w:ascii="Arial" w:cs="Arial" w:eastAsia="Arial" w:hAnsi="Arial"/>
          <w:sz w:val="20"/>
          <w:szCs w:val="20"/>
          <w:color w:val="auto"/>
        </w:rPr>
        <w:t>Compensation will be made on the basis of a flat fee structure that incorporates all Board, committee, and Chair retainers as determined by the Board. The Board’s policy is to target flat fee levels at the 50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percentile of total compensation levels paid to directors of the Comparator Group (as defined in Section 4).</w:t>
      </w:r>
    </w:p>
    <w:p>
      <w:pPr>
        <w:spacing w:after="0" w:line="187" w:lineRule="exact"/>
        <w:rPr>
          <w:rFonts w:ascii="Arial" w:cs="Arial" w:eastAsia="Arial" w:hAnsi="Arial"/>
          <w:sz w:val="20"/>
          <w:szCs w:val="20"/>
          <w:color w:val="auto"/>
        </w:rPr>
      </w:pPr>
    </w:p>
    <w:p>
      <w:pPr>
        <w:jc w:val="both"/>
        <w:ind w:left="2260" w:hanging="755"/>
        <w:spacing w:after="0" w:line="244" w:lineRule="auto"/>
        <w:tabs>
          <w:tab w:leader="none" w:pos="2260" w:val="left"/>
        </w:tabs>
        <w:numPr>
          <w:ilvl w:val="2"/>
          <w:numId w:val="31"/>
        </w:numPr>
        <w:rPr>
          <w:rFonts w:ascii="Arial" w:cs="Arial" w:eastAsia="Arial" w:hAnsi="Arial"/>
          <w:sz w:val="20"/>
          <w:szCs w:val="20"/>
          <w:color w:val="auto"/>
        </w:rPr>
      </w:pPr>
      <w:r>
        <w:rPr>
          <w:rFonts w:ascii="Arial" w:cs="Arial" w:eastAsia="Arial" w:hAnsi="Arial"/>
          <w:sz w:val="20"/>
          <w:szCs w:val="20"/>
          <w:color w:val="auto"/>
        </w:rPr>
        <w:t>As of January 1, 2025, Compensation shall be as set out in Appendix “A”. Changes to Appendix “A” may be made by the Board following a recommendation of or consultation with the Governance Committee. Upon any such change being approved by the Board, a new Appendix “A” incorporating the changes and effective as of the date established by the Board shall be attached to the Plan and become Appendix “A” for all purposes of the Plan.</w:t>
      </w:r>
    </w:p>
    <w:p>
      <w:pPr>
        <w:spacing w:after="0" w:line="180" w:lineRule="exact"/>
        <w:rPr>
          <w:rFonts w:ascii="Arial" w:cs="Arial" w:eastAsia="Arial" w:hAnsi="Arial"/>
          <w:sz w:val="20"/>
          <w:szCs w:val="20"/>
          <w:color w:val="auto"/>
        </w:rPr>
      </w:pPr>
    </w:p>
    <w:p>
      <w:pPr>
        <w:ind w:left="2260" w:hanging="755"/>
        <w:spacing w:after="0" w:line="271" w:lineRule="auto"/>
        <w:tabs>
          <w:tab w:leader="none" w:pos="2260" w:val="left"/>
        </w:tabs>
        <w:numPr>
          <w:ilvl w:val="2"/>
          <w:numId w:val="31"/>
        </w:numPr>
        <w:rPr>
          <w:rFonts w:ascii="Arial" w:cs="Arial" w:eastAsia="Arial" w:hAnsi="Arial"/>
          <w:sz w:val="20"/>
          <w:szCs w:val="20"/>
          <w:color w:val="auto"/>
        </w:rPr>
      </w:pPr>
      <w:r>
        <w:rPr>
          <w:rFonts w:ascii="Arial" w:cs="Arial" w:eastAsia="Arial" w:hAnsi="Arial"/>
          <w:sz w:val="20"/>
          <w:szCs w:val="20"/>
          <w:color w:val="auto"/>
        </w:rPr>
        <w:t>Compensation is paid quarterly, in arrears. All Directors, regardless of country of residency, shall be paid in U.S. dollars.</w:t>
      </w:r>
    </w:p>
    <w:p>
      <w:pPr>
        <w:spacing w:after="0" w:line="155" w:lineRule="exact"/>
        <w:rPr>
          <w:rFonts w:ascii="Arial" w:cs="Arial" w:eastAsia="Arial" w:hAnsi="Arial"/>
          <w:sz w:val="20"/>
          <w:szCs w:val="20"/>
          <w:color w:val="auto"/>
        </w:rPr>
      </w:pPr>
    </w:p>
    <w:p>
      <w:pPr>
        <w:jc w:val="both"/>
        <w:ind w:left="2260" w:hanging="755"/>
        <w:spacing w:after="0" w:line="245" w:lineRule="auto"/>
        <w:tabs>
          <w:tab w:leader="none" w:pos="2260" w:val="left"/>
        </w:tabs>
        <w:numPr>
          <w:ilvl w:val="2"/>
          <w:numId w:val="31"/>
        </w:numPr>
        <w:rPr>
          <w:rFonts w:ascii="Arial" w:cs="Arial" w:eastAsia="Arial" w:hAnsi="Arial"/>
          <w:sz w:val="20"/>
          <w:szCs w:val="20"/>
          <w:color w:val="auto"/>
        </w:rPr>
      </w:pPr>
      <w:r>
        <w:rPr>
          <w:rFonts w:ascii="Arial" w:cs="Arial" w:eastAsia="Arial" w:hAnsi="Arial"/>
          <w:sz w:val="20"/>
          <w:szCs w:val="20"/>
          <w:color w:val="auto"/>
        </w:rPr>
        <w:t>A percentage of the Compensation may be withheld in cases where a Director’s attendance at Board meetings or Committee meetings or both, falls below the established minimum. The Governance Committee will review the continuation of the Director on the Board if an inordinate number of meetings are missed.</w:t>
      </w:r>
    </w:p>
    <w:p>
      <w:pPr>
        <w:spacing w:after="0" w:line="181" w:lineRule="exact"/>
        <w:rPr>
          <w:rFonts w:ascii="Arial" w:cs="Arial" w:eastAsia="Arial" w:hAnsi="Arial"/>
          <w:sz w:val="20"/>
          <w:szCs w:val="20"/>
          <w:color w:val="auto"/>
        </w:rPr>
      </w:pPr>
    </w:p>
    <w:p>
      <w:pPr>
        <w:jc w:val="both"/>
        <w:ind w:left="2260" w:hanging="755"/>
        <w:spacing w:after="0" w:line="243" w:lineRule="auto"/>
        <w:tabs>
          <w:tab w:leader="none" w:pos="2260" w:val="left"/>
        </w:tabs>
        <w:numPr>
          <w:ilvl w:val="2"/>
          <w:numId w:val="31"/>
        </w:numPr>
        <w:rPr>
          <w:rFonts w:ascii="Arial" w:cs="Arial" w:eastAsia="Arial" w:hAnsi="Arial"/>
          <w:sz w:val="20"/>
          <w:szCs w:val="20"/>
          <w:color w:val="auto"/>
        </w:rPr>
      </w:pPr>
      <w:r>
        <w:rPr>
          <w:rFonts w:ascii="Arial" w:cs="Arial" w:eastAsia="Arial" w:hAnsi="Arial"/>
          <w:sz w:val="20"/>
          <w:szCs w:val="20"/>
          <w:color w:val="auto"/>
        </w:rPr>
        <w:t>At any time, the Board, on the recommendation of the Governance Committee, may grant to Directors a Supplemental Service Retainer in the form of a direct grant of DSUs. For U.S. Taxpayers only, the value of DSUs comprising a Supplemental Service Retainer, net of applicable withholdings, shall be payable on December 31 of the year following the year of the Director’s Retirement Date and no U.S. Taxpayer shall be permitted to elect the form or timing of payment of any portion of a Supplemental Service Retainer.</w:t>
      </w:r>
    </w:p>
    <w:p>
      <w:pPr>
        <w:spacing w:after="0" w:line="182" w:lineRule="exact"/>
        <w:rPr>
          <w:rFonts w:ascii="Arial" w:cs="Arial" w:eastAsia="Arial" w:hAnsi="Arial"/>
          <w:sz w:val="20"/>
          <w:szCs w:val="20"/>
          <w:color w:val="auto"/>
        </w:rPr>
      </w:pPr>
    </w:p>
    <w:p>
      <w:pPr>
        <w:ind w:left="1500" w:hanging="743"/>
        <w:spacing w:after="0"/>
        <w:tabs>
          <w:tab w:leader="none" w:pos="1500" w:val="left"/>
        </w:tabs>
        <w:numPr>
          <w:ilvl w:val="1"/>
          <w:numId w:val="31"/>
        </w:numPr>
        <w:rPr>
          <w:rFonts w:ascii="Arial" w:cs="Arial" w:eastAsia="Arial" w:hAnsi="Arial"/>
          <w:sz w:val="20"/>
          <w:szCs w:val="20"/>
          <w:color w:val="auto"/>
        </w:rPr>
      </w:pPr>
      <w:r>
        <w:rPr>
          <w:rFonts w:ascii="Arial" w:cs="Arial" w:eastAsia="Arial" w:hAnsi="Arial"/>
          <w:sz w:val="20"/>
          <w:szCs w:val="20"/>
          <w:u w:val="single" w:color="auto"/>
          <w:color w:val="auto"/>
        </w:rPr>
        <w:t>Forms of Payment</w:t>
      </w:r>
    </w:p>
    <w:p>
      <w:pPr>
        <w:spacing w:after="0" w:line="215" w:lineRule="exact"/>
        <w:rPr>
          <w:rFonts w:ascii="Arial" w:cs="Arial" w:eastAsia="Arial" w:hAnsi="Arial"/>
          <w:sz w:val="20"/>
          <w:szCs w:val="20"/>
          <w:color w:val="auto"/>
        </w:rPr>
      </w:pPr>
    </w:p>
    <w:p>
      <w:pPr>
        <w:ind w:left="1500"/>
        <w:spacing w:after="0" w:line="271" w:lineRule="auto"/>
        <w:rPr>
          <w:rFonts w:ascii="Arial" w:cs="Arial" w:eastAsia="Arial" w:hAnsi="Arial"/>
          <w:sz w:val="20"/>
          <w:szCs w:val="20"/>
          <w:color w:val="auto"/>
        </w:rPr>
      </w:pPr>
      <w:r>
        <w:rPr>
          <w:rFonts w:ascii="Arial" w:cs="Arial" w:eastAsia="Arial" w:hAnsi="Arial"/>
          <w:sz w:val="20"/>
          <w:szCs w:val="20"/>
          <w:color w:val="auto"/>
        </w:rPr>
        <w:t>The Board, on the recommendation of the Governance Committee, shall determine the portion(s), if any, of the Compensation that a Director may elect to receive by</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5" w:name="page56"/>
    <w:bookmarkEnd w:id="55"/>
    <w:p>
      <w:pPr>
        <w:jc w:val="both"/>
        <w:ind w:left="1500"/>
        <w:spacing w:after="0" w:line="250" w:lineRule="auto"/>
        <w:rPr>
          <w:sz w:val="20"/>
          <w:szCs w:val="20"/>
          <w:color w:val="auto"/>
        </w:rPr>
      </w:pPr>
      <w:r>
        <w:rPr>
          <w:rFonts w:ascii="Arial" w:cs="Arial" w:eastAsia="Arial" w:hAnsi="Arial"/>
          <w:sz w:val="20"/>
          <w:szCs w:val="20"/>
          <w:color w:val="auto"/>
        </w:rPr>
        <w:t>way of cash, Shares or Deferred Stock Units. Until revised by the Board, each Director and Chair of the Board will, subject to requirements of minimum share ownership criteria, as set out in Appendix “A”, elect to receive Compensation as cash, Shares or Deferred Stock Units, in whole or in part, in increments of 5% (totalling 100% of the Compensation payable to such Director).</w:t>
      </w:r>
    </w:p>
    <w:p>
      <w:pPr>
        <w:spacing w:after="0" w:line="160" w:lineRule="exact"/>
        <w:rPr>
          <w:sz w:val="20"/>
          <w:szCs w:val="20"/>
          <w:color w:val="auto"/>
        </w:rPr>
      </w:pPr>
    </w:p>
    <w:p>
      <w:pPr>
        <w:ind w:left="760" w:hanging="752"/>
        <w:spacing w:after="0"/>
        <w:tabs>
          <w:tab w:leader="none" w:pos="76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COMPENSATION - SHARES</w:t>
      </w:r>
    </w:p>
    <w:p>
      <w:pPr>
        <w:spacing w:after="0" w:line="217" w:lineRule="exact"/>
        <w:rPr>
          <w:rFonts w:ascii="Arial" w:cs="Arial" w:eastAsia="Arial" w:hAnsi="Arial"/>
          <w:sz w:val="20"/>
          <w:szCs w:val="20"/>
          <w:b w:val="1"/>
          <w:bCs w:val="1"/>
          <w:color w:val="auto"/>
        </w:rPr>
      </w:pPr>
    </w:p>
    <w:p>
      <w:pPr>
        <w:jc w:val="both"/>
        <w:ind w:left="1500" w:hanging="743"/>
        <w:spacing w:after="0" w:line="250" w:lineRule="auto"/>
        <w:tabs>
          <w:tab w:leader="none" w:pos="1500" w:val="left"/>
        </w:tabs>
        <w:numPr>
          <w:ilvl w:val="1"/>
          <w:numId w:val="32"/>
        </w:numPr>
        <w:rPr>
          <w:rFonts w:ascii="Arial" w:cs="Arial" w:eastAsia="Arial" w:hAnsi="Arial"/>
          <w:sz w:val="20"/>
          <w:szCs w:val="20"/>
          <w:color w:val="auto"/>
        </w:rPr>
      </w:pPr>
      <w:r>
        <w:rPr>
          <w:rFonts w:ascii="Arial" w:cs="Arial" w:eastAsia="Arial" w:hAnsi="Arial"/>
          <w:sz w:val="20"/>
          <w:szCs w:val="20"/>
          <w:color w:val="auto"/>
        </w:rPr>
        <w:t>In respect of any amount of Compensation payable to a Director in Shares, funds sufficient for the purchase in the open market of such Shares shall be paid to the Trustee by the Corporation in trust for such Director from time to time, and shall be applied by the Trustee to the purchase of Shares, in the open market on a stock exchange, for that Director.</w:t>
      </w:r>
    </w:p>
    <w:p>
      <w:pPr>
        <w:spacing w:after="0" w:line="175" w:lineRule="exact"/>
        <w:rPr>
          <w:rFonts w:ascii="Arial" w:cs="Arial" w:eastAsia="Arial" w:hAnsi="Arial"/>
          <w:sz w:val="20"/>
          <w:szCs w:val="20"/>
          <w:color w:val="auto"/>
        </w:rPr>
      </w:pPr>
    </w:p>
    <w:p>
      <w:pPr>
        <w:ind w:left="1500" w:hanging="743"/>
        <w:spacing w:after="0" w:line="257" w:lineRule="auto"/>
        <w:tabs>
          <w:tab w:leader="none" w:pos="1500" w:val="left"/>
        </w:tabs>
        <w:numPr>
          <w:ilvl w:val="1"/>
          <w:numId w:val="32"/>
        </w:numPr>
        <w:rPr>
          <w:rFonts w:ascii="Arial" w:cs="Arial" w:eastAsia="Arial" w:hAnsi="Arial"/>
          <w:sz w:val="20"/>
          <w:szCs w:val="20"/>
          <w:color w:val="auto"/>
        </w:rPr>
      </w:pPr>
      <w:r>
        <w:rPr>
          <w:rFonts w:ascii="Arial" w:cs="Arial" w:eastAsia="Arial" w:hAnsi="Arial"/>
          <w:sz w:val="20"/>
          <w:szCs w:val="20"/>
          <w:color w:val="auto"/>
        </w:rPr>
        <w:t>The Shares to which a Director becomes entitled hereunder shall be calculated on the basis of the Market Value thereof two (2) weeks prior to the Payment Date.</w:t>
      </w:r>
    </w:p>
    <w:p>
      <w:pPr>
        <w:spacing w:after="0" w:line="168" w:lineRule="exact"/>
        <w:rPr>
          <w:rFonts w:ascii="Arial" w:cs="Arial" w:eastAsia="Arial" w:hAnsi="Arial"/>
          <w:sz w:val="20"/>
          <w:szCs w:val="20"/>
          <w:color w:val="auto"/>
        </w:rPr>
      </w:pPr>
    </w:p>
    <w:p>
      <w:pPr>
        <w:ind w:left="1500" w:hanging="743"/>
        <w:spacing w:after="0" w:line="271" w:lineRule="auto"/>
        <w:tabs>
          <w:tab w:leader="none" w:pos="1500" w:val="left"/>
        </w:tabs>
        <w:numPr>
          <w:ilvl w:val="1"/>
          <w:numId w:val="32"/>
        </w:numPr>
        <w:rPr>
          <w:rFonts w:ascii="Arial" w:cs="Arial" w:eastAsia="Arial" w:hAnsi="Arial"/>
          <w:sz w:val="20"/>
          <w:szCs w:val="20"/>
          <w:color w:val="auto"/>
        </w:rPr>
      </w:pPr>
      <w:r>
        <w:rPr>
          <w:rFonts w:ascii="Arial" w:cs="Arial" w:eastAsia="Arial" w:hAnsi="Arial"/>
          <w:sz w:val="20"/>
          <w:szCs w:val="20"/>
          <w:color w:val="auto"/>
        </w:rPr>
        <w:t>The Trustee shall cause such Shares to be registered in the name of the Director and held in electronic book-entry form through the DRS.</w:t>
      </w:r>
    </w:p>
    <w:p>
      <w:pPr>
        <w:spacing w:after="0" w:line="155" w:lineRule="exact"/>
        <w:rPr>
          <w:rFonts w:ascii="Arial" w:cs="Arial" w:eastAsia="Arial" w:hAnsi="Arial"/>
          <w:sz w:val="20"/>
          <w:szCs w:val="20"/>
          <w:color w:val="auto"/>
        </w:rPr>
      </w:pPr>
    </w:p>
    <w:p>
      <w:pPr>
        <w:jc w:val="both"/>
        <w:ind w:left="1500" w:hanging="743"/>
        <w:spacing w:after="0" w:line="244" w:lineRule="auto"/>
        <w:tabs>
          <w:tab w:leader="none" w:pos="1500" w:val="left"/>
        </w:tabs>
        <w:numPr>
          <w:ilvl w:val="1"/>
          <w:numId w:val="32"/>
        </w:numPr>
        <w:rPr>
          <w:rFonts w:ascii="Arial" w:cs="Arial" w:eastAsia="Arial" w:hAnsi="Arial"/>
          <w:sz w:val="20"/>
          <w:szCs w:val="20"/>
          <w:color w:val="auto"/>
        </w:rPr>
      </w:pPr>
      <w:r>
        <w:rPr>
          <w:rFonts w:ascii="Arial" w:cs="Arial" w:eastAsia="Arial" w:hAnsi="Arial"/>
          <w:sz w:val="20"/>
          <w:szCs w:val="20"/>
          <w:color w:val="auto"/>
        </w:rPr>
        <w:t>The Trustee shall cause the transfer agent to provide (i) a Direct Registration (DRS) Advice to each Director promptly after each purchase of Shares on such Director’s behalf, which will set out the number of Shares so purchased and the aggregate number of Shares held by such Director in the DRS, and (ii) a Direct Registration (DRS) Statement to each such Director annually. In addition, the Trustee shall promptly provide any other information required by the Director for tax reporting purposes.</w:t>
      </w:r>
    </w:p>
    <w:p>
      <w:pPr>
        <w:spacing w:after="0" w:line="178" w:lineRule="exact"/>
        <w:rPr>
          <w:rFonts w:ascii="Arial" w:cs="Arial" w:eastAsia="Arial" w:hAnsi="Arial"/>
          <w:sz w:val="20"/>
          <w:szCs w:val="20"/>
          <w:color w:val="auto"/>
        </w:rPr>
      </w:pPr>
    </w:p>
    <w:p>
      <w:pPr>
        <w:ind w:left="760" w:hanging="752"/>
        <w:spacing w:after="0"/>
        <w:tabs>
          <w:tab w:leader="none" w:pos="76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COMPENSATION - DEFERRED STOCK UNITS</w:t>
      </w:r>
    </w:p>
    <w:p>
      <w:pPr>
        <w:spacing w:after="0" w:line="217" w:lineRule="exact"/>
        <w:rPr>
          <w:rFonts w:ascii="Arial" w:cs="Arial" w:eastAsia="Arial" w:hAnsi="Arial"/>
          <w:sz w:val="20"/>
          <w:szCs w:val="20"/>
          <w:b w:val="1"/>
          <w:bCs w:val="1"/>
          <w:color w:val="auto"/>
        </w:rPr>
      </w:pPr>
    </w:p>
    <w:p>
      <w:pPr>
        <w:ind w:left="1500" w:hanging="743"/>
        <w:spacing w:after="0"/>
        <w:tabs>
          <w:tab w:leader="none" w:pos="1500"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Purpose</w:t>
      </w:r>
    </w:p>
    <w:p>
      <w:pPr>
        <w:spacing w:after="0" w:line="215" w:lineRule="exact"/>
        <w:rPr>
          <w:rFonts w:ascii="Arial" w:cs="Arial" w:eastAsia="Arial" w:hAnsi="Arial"/>
          <w:sz w:val="20"/>
          <w:szCs w:val="20"/>
          <w:color w:val="auto"/>
        </w:rPr>
      </w:pPr>
    </w:p>
    <w:p>
      <w:pPr>
        <w:ind w:left="1500" w:right="20"/>
        <w:spacing w:after="0" w:line="244" w:lineRule="auto"/>
        <w:rPr>
          <w:rFonts w:ascii="Arial" w:cs="Arial" w:eastAsia="Arial" w:hAnsi="Arial"/>
          <w:sz w:val="20"/>
          <w:szCs w:val="20"/>
          <w:color w:val="auto"/>
        </w:rPr>
      </w:pPr>
      <w:r>
        <w:rPr>
          <w:rFonts w:ascii="Arial" w:cs="Arial" w:eastAsia="Arial" w:hAnsi="Arial"/>
          <w:sz w:val="20"/>
          <w:szCs w:val="20"/>
          <w:color w:val="auto"/>
        </w:rPr>
        <w:t xml:space="preserve">This Plan, solely with respect to Deferred Stock Units granted to a Director that is a Canadian Taxpayer or Dual-Taxed Member, is meant to be a prescribed plan under paragraph 6801(d) of the </w:t>
      </w:r>
      <w:r>
        <w:rPr>
          <w:rFonts w:ascii="Arial" w:cs="Arial" w:eastAsia="Arial" w:hAnsi="Arial"/>
          <w:sz w:val="20"/>
          <w:szCs w:val="20"/>
          <w:i w:val="1"/>
          <w:iCs w:val="1"/>
          <w:color w:val="auto"/>
        </w:rPr>
        <w:t>Income Tax Regulations</w:t>
      </w:r>
      <w:r>
        <w:rPr>
          <w:rFonts w:ascii="Arial" w:cs="Arial" w:eastAsia="Arial" w:hAnsi="Arial"/>
          <w:sz w:val="20"/>
          <w:szCs w:val="20"/>
          <w:color w:val="auto"/>
        </w:rPr>
        <w:t xml:space="preserve"> (Canada), or any successor provision, in order to qualify as a “prescribed plan or arrangement” for the purposes of the definition of a “salary deferral arrangement” contained in subsection 248(1) of the </w:t>
      </w:r>
      <w:r>
        <w:rPr>
          <w:rFonts w:ascii="Arial" w:cs="Arial" w:eastAsia="Arial" w:hAnsi="Arial"/>
          <w:sz w:val="20"/>
          <w:szCs w:val="20"/>
          <w:i w:val="1"/>
          <w:iCs w:val="1"/>
          <w:color w:val="auto"/>
        </w:rPr>
        <w:t>Income Tax</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Act </w:t>
      </w:r>
      <w:r>
        <w:rPr>
          <w:rFonts w:ascii="Arial" w:cs="Arial" w:eastAsia="Arial" w:hAnsi="Arial"/>
          <w:sz w:val="20"/>
          <w:szCs w:val="20"/>
          <w:color w:val="auto"/>
        </w:rPr>
        <w:t>(Canada).</w:t>
      </w:r>
    </w:p>
    <w:p>
      <w:pPr>
        <w:spacing w:after="0" w:line="180" w:lineRule="exact"/>
        <w:rPr>
          <w:rFonts w:ascii="Arial" w:cs="Arial" w:eastAsia="Arial" w:hAnsi="Arial"/>
          <w:sz w:val="20"/>
          <w:szCs w:val="20"/>
          <w:color w:val="auto"/>
        </w:rPr>
      </w:pPr>
    </w:p>
    <w:p>
      <w:pPr>
        <w:ind w:left="1500" w:hanging="743"/>
        <w:spacing w:after="0"/>
        <w:tabs>
          <w:tab w:leader="none" w:pos="1500"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Deferred Stock Unit Account</w:t>
      </w:r>
    </w:p>
    <w:p>
      <w:pPr>
        <w:spacing w:after="0" w:line="213" w:lineRule="exact"/>
        <w:rPr>
          <w:rFonts w:ascii="Arial" w:cs="Arial" w:eastAsia="Arial" w:hAnsi="Arial"/>
          <w:sz w:val="20"/>
          <w:szCs w:val="20"/>
          <w:color w:val="auto"/>
        </w:rPr>
      </w:pPr>
    </w:p>
    <w:p>
      <w:pPr>
        <w:jc w:val="both"/>
        <w:ind w:left="1500"/>
        <w:spacing w:after="0" w:line="256" w:lineRule="auto"/>
        <w:rPr>
          <w:rFonts w:ascii="Arial" w:cs="Arial" w:eastAsia="Arial" w:hAnsi="Arial"/>
          <w:sz w:val="20"/>
          <w:szCs w:val="20"/>
          <w:color w:val="auto"/>
        </w:rPr>
      </w:pPr>
      <w:r>
        <w:rPr>
          <w:rFonts w:ascii="Arial" w:cs="Arial" w:eastAsia="Arial" w:hAnsi="Arial"/>
          <w:sz w:val="20"/>
          <w:szCs w:val="20"/>
          <w:color w:val="auto"/>
        </w:rPr>
        <w:t xml:space="preserve">An account, to be known as a </w:t>
      </w:r>
      <w:r>
        <w:rPr>
          <w:rFonts w:ascii="Arial" w:cs="Arial" w:eastAsia="Arial" w:hAnsi="Arial"/>
          <w:sz w:val="20"/>
          <w:szCs w:val="20"/>
          <w:b w:val="1"/>
          <w:bCs w:val="1"/>
          <w:color w:val="auto"/>
        </w:rPr>
        <w:t>“Deferred Stock Unit Account”</w:t>
      </w:r>
      <w:r>
        <w:rPr>
          <w:rFonts w:ascii="Arial" w:cs="Arial" w:eastAsia="Arial" w:hAnsi="Arial"/>
          <w:sz w:val="20"/>
          <w:szCs w:val="20"/>
          <w:color w:val="auto"/>
        </w:rPr>
        <w:t>, shall be maintained by the Corporation for each Director and will show the number of Deferred Stock Units credited to a Director, to four (4) decimal places, from time to time.</w:t>
      </w:r>
    </w:p>
    <w:p>
      <w:pPr>
        <w:spacing w:after="0" w:line="49" w:lineRule="exact"/>
        <w:rPr>
          <w:rFonts w:ascii="Arial" w:cs="Arial" w:eastAsia="Arial" w:hAnsi="Arial"/>
          <w:sz w:val="20"/>
          <w:szCs w:val="20"/>
          <w:color w:val="auto"/>
        </w:rPr>
      </w:pPr>
    </w:p>
    <w:p>
      <w:pPr>
        <w:ind w:left="1500" w:hanging="743"/>
        <w:spacing w:after="0"/>
        <w:tabs>
          <w:tab w:leader="none" w:pos="1500"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Crediting Deferred Stock Unit Account</w:t>
      </w:r>
    </w:p>
    <w:p>
      <w:pPr>
        <w:spacing w:after="0" w:line="215" w:lineRule="exact"/>
        <w:rPr>
          <w:rFonts w:ascii="Arial" w:cs="Arial" w:eastAsia="Arial" w:hAnsi="Arial"/>
          <w:sz w:val="20"/>
          <w:szCs w:val="20"/>
          <w:color w:val="auto"/>
        </w:rPr>
      </w:pPr>
    </w:p>
    <w:p>
      <w:pPr>
        <w:jc w:val="both"/>
        <w:ind w:left="1500"/>
        <w:spacing w:after="0" w:line="255" w:lineRule="auto"/>
        <w:rPr>
          <w:rFonts w:ascii="Arial" w:cs="Arial" w:eastAsia="Arial" w:hAnsi="Arial"/>
          <w:sz w:val="20"/>
          <w:szCs w:val="20"/>
          <w:color w:val="auto"/>
        </w:rPr>
      </w:pPr>
      <w:r>
        <w:rPr>
          <w:rFonts w:ascii="Arial" w:cs="Arial" w:eastAsia="Arial" w:hAnsi="Arial"/>
          <w:sz w:val="20"/>
          <w:szCs w:val="20"/>
          <w:color w:val="auto"/>
        </w:rPr>
        <w:t>In respect of any amount of Compensation payable to a Director in Deferred Stock Units, the number of Deferred Stock Units to be credited to that Director will be calculated by dividing the dollar amount of the quarterly Compensation payable to</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6" w:name="page57"/>
    <w:bookmarkEnd w:id="56"/>
    <w:p>
      <w:pPr>
        <w:ind w:left="1500"/>
        <w:spacing w:after="0" w:line="271" w:lineRule="auto"/>
        <w:rPr>
          <w:sz w:val="20"/>
          <w:szCs w:val="20"/>
          <w:color w:val="auto"/>
        </w:rPr>
      </w:pPr>
      <w:r>
        <w:rPr>
          <w:rFonts w:ascii="Arial" w:cs="Arial" w:eastAsia="Arial" w:hAnsi="Arial"/>
          <w:sz w:val="20"/>
          <w:szCs w:val="20"/>
          <w:color w:val="auto"/>
        </w:rPr>
        <w:t>that Director in Deferred Stock Units on the Payment Date by the Market Value two (2) weeks prior to such date.</w:t>
      </w:r>
    </w:p>
    <w:p>
      <w:pPr>
        <w:spacing w:after="0" w:line="156" w:lineRule="exact"/>
        <w:rPr>
          <w:sz w:val="20"/>
          <w:szCs w:val="20"/>
          <w:color w:val="auto"/>
        </w:rPr>
      </w:pPr>
    </w:p>
    <w:p>
      <w:pPr>
        <w:ind w:left="1500" w:hanging="743"/>
        <w:spacing w:after="0"/>
        <w:tabs>
          <w:tab w:leader="none" w:pos="1500" w:val="left"/>
        </w:tabs>
        <w:numPr>
          <w:ilvl w:val="1"/>
          <w:numId w:val="33"/>
        </w:numPr>
        <w:rPr>
          <w:rFonts w:ascii="Arial" w:cs="Arial" w:eastAsia="Arial" w:hAnsi="Arial"/>
          <w:sz w:val="20"/>
          <w:szCs w:val="20"/>
          <w:color w:val="auto"/>
        </w:rPr>
      </w:pPr>
      <w:r>
        <w:rPr>
          <w:rFonts w:ascii="Arial" w:cs="Arial" w:eastAsia="Arial" w:hAnsi="Arial"/>
          <w:sz w:val="20"/>
          <w:szCs w:val="20"/>
          <w:u w:val="single" w:color="auto"/>
          <w:color w:val="auto"/>
        </w:rPr>
        <w:t>Additional Deferred Stock Units From Dividends On Shares</w:t>
      </w:r>
    </w:p>
    <w:p>
      <w:pPr>
        <w:spacing w:after="0" w:line="215" w:lineRule="exact"/>
        <w:rPr>
          <w:rFonts w:ascii="Arial" w:cs="Arial" w:eastAsia="Arial" w:hAnsi="Arial"/>
          <w:sz w:val="20"/>
          <w:szCs w:val="20"/>
          <w:color w:val="auto"/>
        </w:rPr>
      </w:pPr>
    </w:p>
    <w:p>
      <w:pPr>
        <w:jc w:val="both"/>
        <w:ind w:left="1500"/>
        <w:spacing w:after="0" w:line="242" w:lineRule="auto"/>
        <w:rPr>
          <w:rFonts w:ascii="Arial" w:cs="Arial" w:eastAsia="Arial" w:hAnsi="Arial"/>
          <w:sz w:val="20"/>
          <w:szCs w:val="20"/>
          <w:color w:val="auto"/>
        </w:rPr>
      </w:pPr>
      <w:r>
        <w:rPr>
          <w:rFonts w:ascii="Arial" w:cs="Arial" w:eastAsia="Arial" w:hAnsi="Arial"/>
          <w:sz w:val="20"/>
          <w:szCs w:val="20"/>
          <w:color w:val="auto"/>
        </w:rPr>
        <w:t>In addition to Subsection 9(c), whenever any cash dividend or other cash distribution is paid on the Shares, additional Deferred Stock Units will be credited to the Director’s Deferred Stock Unit Account. The number of such additional Deferred Stock Units will be calculated by dividing the aggregate dividends that would have been paid to such Director if the Deferred Stock Units in the Director’s Deferred Stock Unit Account had been Shares, by the Market Value of a Share on the date on which the dividends are paid on the Shares, less the amount of any discount then in effect for the reinvestment of dividends under the Corporation’s Dividend Reinvestment and Share Purchase Plan.</w:t>
      </w:r>
    </w:p>
    <w:p>
      <w:pPr>
        <w:spacing w:after="0" w:line="172" w:lineRule="exact"/>
        <w:rPr>
          <w:rFonts w:ascii="Arial" w:cs="Arial" w:eastAsia="Arial" w:hAnsi="Arial"/>
          <w:sz w:val="20"/>
          <w:szCs w:val="20"/>
          <w:color w:val="auto"/>
        </w:rPr>
      </w:pPr>
    </w:p>
    <w:p>
      <w:pPr>
        <w:ind w:left="1500" w:hanging="743"/>
        <w:spacing w:after="0"/>
        <w:tabs>
          <w:tab w:leader="none" w:pos="1500" w:val="left"/>
        </w:tabs>
        <w:numPr>
          <w:ilvl w:val="1"/>
          <w:numId w:val="33"/>
        </w:numPr>
        <w:rPr>
          <w:rFonts w:ascii="Arial" w:cs="Arial" w:eastAsia="Arial" w:hAnsi="Arial"/>
          <w:sz w:val="20"/>
          <w:szCs w:val="20"/>
          <w:color w:val="auto"/>
        </w:rPr>
      </w:pPr>
      <w:r>
        <w:rPr>
          <w:rFonts w:ascii="Arial" w:cs="Arial" w:eastAsia="Arial" w:hAnsi="Arial"/>
          <w:sz w:val="20"/>
          <w:szCs w:val="20"/>
          <w:u w:val="single" w:color="auto"/>
          <w:color w:val="auto"/>
        </w:rPr>
        <w:t>Deferred Stock Units Granted on a Value-For-Value Basis</w:t>
      </w:r>
    </w:p>
    <w:p>
      <w:pPr>
        <w:spacing w:after="0" w:line="215" w:lineRule="exact"/>
        <w:rPr>
          <w:rFonts w:ascii="Arial" w:cs="Arial" w:eastAsia="Arial" w:hAnsi="Arial"/>
          <w:sz w:val="20"/>
          <w:szCs w:val="20"/>
          <w:color w:val="auto"/>
        </w:rPr>
      </w:pPr>
    </w:p>
    <w:p>
      <w:pPr>
        <w:ind w:left="1500"/>
        <w:spacing w:after="0"/>
        <w:rPr>
          <w:rFonts w:ascii="Arial" w:cs="Arial" w:eastAsia="Arial" w:hAnsi="Arial"/>
          <w:sz w:val="20"/>
          <w:szCs w:val="20"/>
          <w:color w:val="auto"/>
        </w:rPr>
      </w:pPr>
      <w:r>
        <w:rPr>
          <w:rFonts w:ascii="Arial" w:cs="Arial" w:eastAsia="Arial" w:hAnsi="Arial"/>
          <w:sz w:val="20"/>
          <w:szCs w:val="20"/>
          <w:color w:val="auto"/>
        </w:rPr>
        <w:t>Deferred Stock Units may only be granted in lieu of cash fees on a value-for-value basis.</w:t>
      </w:r>
    </w:p>
    <w:p>
      <w:pPr>
        <w:spacing w:after="0" w:line="213" w:lineRule="exact"/>
        <w:rPr>
          <w:rFonts w:ascii="Arial" w:cs="Arial" w:eastAsia="Arial" w:hAnsi="Arial"/>
          <w:sz w:val="20"/>
          <w:szCs w:val="20"/>
          <w:color w:val="auto"/>
        </w:rPr>
      </w:pPr>
    </w:p>
    <w:p>
      <w:pPr>
        <w:ind w:left="760" w:hanging="752"/>
        <w:spacing w:after="0"/>
        <w:tabs>
          <w:tab w:leader="none" w:pos="76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CANADIAN TAXPAYER - DEFERRED STOCK UNITS</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This Section 10 only applies to Canadian Taxpayers:</w:t>
      </w:r>
    </w:p>
    <w:p>
      <w:pPr>
        <w:spacing w:after="0" w:line="218" w:lineRule="exact"/>
        <w:rPr>
          <w:sz w:val="20"/>
          <w:szCs w:val="20"/>
          <w:color w:val="auto"/>
        </w:rPr>
      </w:pPr>
    </w:p>
    <w:p>
      <w:pPr>
        <w:ind w:left="1500" w:hanging="743"/>
        <w:spacing w:after="0"/>
        <w:tabs>
          <w:tab w:leader="none" w:pos="150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Choice of Compensation Mix</w:t>
      </w:r>
    </w:p>
    <w:p>
      <w:pPr>
        <w:spacing w:after="0" w:line="215" w:lineRule="exact"/>
        <w:rPr>
          <w:rFonts w:ascii="Arial" w:cs="Arial" w:eastAsia="Arial" w:hAnsi="Arial"/>
          <w:sz w:val="20"/>
          <w:szCs w:val="20"/>
          <w:color w:val="auto"/>
        </w:rPr>
      </w:pPr>
    </w:p>
    <w:p>
      <w:pPr>
        <w:jc w:val="both"/>
        <w:ind w:left="2260" w:hanging="755"/>
        <w:spacing w:after="0" w:line="244" w:lineRule="auto"/>
        <w:tabs>
          <w:tab w:leader="none" w:pos="2260" w:val="left"/>
        </w:tabs>
        <w:numPr>
          <w:ilvl w:val="1"/>
          <w:numId w:val="35"/>
        </w:numPr>
        <w:rPr>
          <w:rFonts w:ascii="Arial" w:cs="Arial" w:eastAsia="Arial" w:hAnsi="Arial"/>
          <w:sz w:val="20"/>
          <w:szCs w:val="20"/>
          <w:color w:val="auto"/>
        </w:rPr>
      </w:pPr>
      <w:r>
        <w:rPr>
          <w:rFonts w:ascii="Arial" w:cs="Arial" w:eastAsia="Arial" w:hAnsi="Arial"/>
          <w:sz w:val="20"/>
          <w:szCs w:val="20"/>
          <w:color w:val="auto"/>
        </w:rPr>
        <w:t>The Directors shall elect on or before December 31 of the preceding year in which Compensation will be earned, the portion of such Compensation, excluding any Supplemental Service Retainer, to be received by the Director in cash, Shares or Deferred Stock Units in respect of that calendar year, and, failing such election, the Director shall, subject to any minimum amounts of cash, Shares or Deferred Stock Units as set out in Appendix “A”, be deemed to have elected 100% in cash.</w:t>
      </w:r>
    </w:p>
    <w:p>
      <w:pPr>
        <w:spacing w:after="0" w:line="180" w:lineRule="exact"/>
        <w:rPr>
          <w:rFonts w:ascii="Arial" w:cs="Arial" w:eastAsia="Arial" w:hAnsi="Arial"/>
          <w:sz w:val="20"/>
          <w:szCs w:val="20"/>
          <w:color w:val="auto"/>
        </w:rPr>
      </w:pPr>
    </w:p>
    <w:p>
      <w:pPr>
        <w:jc w:val="both"/>
        <w:ind w:left="2260" w:hanging="755"/>
        <w:spacing w:after="0" w:line="243" w:lineRule="auto"/>
        <w:tabs>
          <w:tab w:leader="none" w:pos="2260" w:val="left"/>
        </w:tabs>
        <w:numPr>
          <w:ilvl w:val="1"/>
          <w:numId w:val="35"/>
        </w:numPr>
        <w:rPr>
          <w:rFonts w:ascii="Arial" w:cs="Arial" w:eastAsia="Arial" w:hAnsi="Arial"/>
          <w:sz w:val="20"/>
          <w:szCs w:val="20"/>
          <w:color w:val="auto"/>
        </w:rPr>
      </w:pPr>
      <w:r>
        <w:rPr>
          <w:rFonts w:ascii="Arial" w:cs="Arial" w:eastAsia="Arial" w:hAnsi="Arial"/>
          <w:sz w:val="20"/>
          <w:szCs w:val="20"/>
          <w:color w:val="auto"/>
        </w:rPr>
        <w:t>Where a Director joins the Board after January 1 in any year, such Director shall make his or her compensation mix election within thirty (30) days of his or her election or appointment to the Board provided, however, that if under such election the Director elects to receive any portion of Compensation in Deferred Stock Units, such election will only be effective with respect to such portion on the first day of the next quarter of the Corporation following the date of the Corporation’s receipt of the election until the final day of that calendar year.</w:t>
      </w:r>
    </w:p>
    <w:p>
      <w:pPr>
        <w:spacing w:after="0" w:line="182" w:lineRule="exact"/>
        <w:rPr>
          <w:rFonts w:ascii="Arial" w:cs="Arial" w:eastAsia="Arial" w:hAnsi="Arial"/>
          <w:sz w:val="20"/>
          <w:szCs w:val="20"/>
          <w:color w:val="auto"/>
        </w:rPr>
      </w:pPr>
    </w:p>
    <w:p>
      <w:pPr>
        <w:ind w:left="2260" w:hanging="755"/>
        <w:spacing w:after="0" w:line="271" w:lineRule="auto"/>
        <w:tabs>
          <w:tab w:leader="none" w:pos="2260" w:val="left"/>
        </w:tabs>
        <w:numPr>
          <w:ilvl w:val="1"/>
          <w:numId w:val="35"/>
        </w:numPr>
        <w:rPr>
          <w:rFonts w:ascii="Arial" w:cs="Arial" w:eastAsia="Arial" w:hAnsi="Arial"/>
          <w:sz w:val="20"/>
          <w:szCs w:val="20"/>
          <w:color w:val="auto"/>
        </w:rPr>
      </w:pPr>
      <w:r>
        <w:rPr>
          <w:rFonts w:ascii="Arial" w:cs="Arial" w:eastAsia="Arial" w:hAnsi="Arial"/>
          <w:sz w:val="20"/>
          <w:szCs w:val="20"/>
          <w:color w:val="auto"/>
        </w:rPr>
        <w:t>In all cases, the Directors’ elections shall be irrevocable and shall remain in force from the date of such election until the date of the next election.</w:t>
      </w:r>
    </w:p>
    <w:p>
      <w:pPr>
        <w:spacing w:after="0" w:line="155" w:lineRule="exact"/>
        <w:rPr>
          <w:rFonts w:ascii="Arial" w:cs="Arial" w:eastAsia="Arial" w:hAnsi="Arial"/>
          <w:sz w:val="20"/>
          <w:szCs w:val="20"/>
          <w:color w:val="auto"/>
        </w:rPr>
      </w:pPr>
    </w:p>
    <w:p>
      <w:pPr>
        <w:ind w:left="1500" w:hanging="743"/>
        <w:spacing w:after="0"/>
        <w:tabs>
          <w:tab w:leader="none" w:pos="150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Canadian Election Form</w:t>
      </w:r>
    </w:p>
    <w:p>
      <w:pPr>
        <w:spacing w:after="0" w:line="202" w:lineRule="exact"/>
        <w:rPr>
          <w:rFonts w:ascii="Arial" w:cs="Arial" w:eastAsia="Arial" w:hAnsi="Arial"/>
          <w:sz w:val="20"/>
          <w:szCs w:val="20"/>
          <w:color w:val="auto"/>
        </w:rPr>
      </w:pPr>
    </w:p>
    <w:p>
      <w:pPr>
        <w:ind w:left="1500"/>
        <w:spacing w:after="0" w:line="271" w:lineRule="auto"/>
        <w:rPr>
          <w:rFonts w:ascii="Arial" w:cs="Arial" w:eastAsia="Arial" w:hAnsi="Arial"/>
          <w:sz w:val="20"/>
          <w:szCs w:val="20"/>
          <w:color w:val="auto"/>
        </w:rPr>
      </w:pPr>
      <w:r>
        <w:rPr>
          <w:rFonts w:ascii="Arial" w:cs="Arial" w:eastAsia="Arial" w:hAnsi="Arial"/>
          <w:sz w:val="20"/>
          <w:szCs w:val="20"/>
          <w:color w:val="auto"/>
        </w:rPr>
        <w:t>Each Director shall fill out a Canadian Election Form indicating their elected compensation mix and deliver such Canadian Election Form to the Corporation on the dates set out above.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7" w:name="page58"/>
    <w:bookmarkEnd w:id="57"/>
    <w:p>
      <w:pPr>
        <w:ind w:left="1500" w:hanging="743"/>
        <w:spacing w:after="0"/>
        <w:tabs>
          <w:tab w:leader="none" w:pos="1500"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Elected Payment Date – Canadian Taxpayer</w:t>
      </w:r>
    </w:p>
    <w:p>
      <w:pPr>
        <w:spacing w:after="0" w:line="215" w:lineRule="exact"/>
        <w:rPr>
          <w:rFonts w:ascii="Arial" w:cs="Arial" w:eastAsia="Arial" w:hAnsi="Arial"/>
          <w:sz w:val="20"/>
          <w:szCs w:val="20"/>
          <w:color w:val="auto"/>
        </w:rPr>
      </w:pPr>
    </w:p>
    <w:p>
      <w:pPr>
        <w:jc w:val="both"/>
        <w:ind w:left="1500"/>
        <w:spacing w:after="0" w:line="244" w:lineRule="auto"/>
        <w:rPr>
          <w:rFonts w:ascii="Arial" w:cs="Arial" w:eastAsia="Arial" w:hAnsi="Arial"/>
          <w:sz w:val="20"/>
          <w:szCs w:val="20"/>
          <w:color w:val="auto"/>
        </w:rPr>
      </w:pPr>
      <w:r>
        <w:rPr>
          <w:rFonts w:ascii="Arial" w:cs="Arial" w:eastAsia="Arial" w:hAnsi="Arial"/>
          <w:sz w:val="20"/>
          <w:szCs w:val="20"/>
          <w:color w:val="auto"/>
        </w:rPr>
        <w:t>Except as provided in Subsection 10(e), the determined value of all Deferred Stock Units credited to the Deferred Stock Unit Account of a Director whose income is subject to Canadian income tax, net of required withholdings, shall be paid to that Director in cash on a date to be agreed upon by that Director and the Corporation, provided that the payment date must be a date subsequent to the Retirement Date and may be no later than December 31 of the first calendar year commencing after that Retirement Date.</w:t>
      </w:r>
    </w:p>
    <w:p>
      <w:pPr>
        <w:spacing w:after="0" w:line="180" w:lineRule="exact"/>
        <w:rPr>
          <w:rFonts w:ascii="Arial" w:cs="Arial" w:eastAsia="Arial" w:hAnsi="Arial"/>
          <w:sz w:val="20"/>
          <w:szCs w:val="20"/>
          <w:color w:val="auto"/>
        </w:rPr>
      </w:pPr>
    </w:p>
    <w:p>
      <w:pPr>
        <w:ind w:left="1500" w:hanging="743"/>
        <w:spacing w:after="0"/>
        <w:tabs>
          <w:tab w:leader="none" w:pos="1500"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No Election Default</w:t>
      </w:r>
    </w:p>
    <w:p>
      <w:pPr>
        <w:spacing w:after="0" w:line="215" w:lineRule="exact"/>
        <w:rPr>
          <w:rFonts w:ascii="Arial" w:cs="Arial" w:eastAsia="Arial" w:hAnsi="Arial"/>
          <w:sz w:val="20"/>
          <w:szCs w:val="20"/>
          <w:color w:val="auto"/>
        </w:rPr>
      </w:pPr>
    </w:p>
    <w:p>
      <w:pPr>
        <w:ind w:left="1500"/>
        <w:spacing w:after="0" w:line="271" w:lineRule="auto"/>
        <w:rPr>
          <w:rFonts w:ascii="Arial" w:cs="Arial" w:eastAsia="Arial" w:hAnsi="Arial"/>
          <w:sz w:val="20"/>
          <w:szCs w:val="20"/>
          <w:color w:val="auto"/>
        </w:rPr>
      </w:pPr>
      <w:r>
        <w:rPr>
          <w:rFonts w:ascii="Arial" w:cs="Arial" w:eastAsia="Arial" w:hAnsi="Arial"/>
          <w:sz w:val="20"/>
          <w:szCs w:val="20"/>
          <w:color w:val="auto"/>
        </w:rPr>
        <w:t>If no such payment date agreement is reached, pursuant to Subsection 10(c), the payment date will be December 31 of the first calendar year commencing after that Director’s Retirement Date.</w:t>
      </w:r>
    </w:p>
    <w:p>
      <w:pPr>
        <w:spacing w:after="0" w:line="155" w:lineRule="exact"/>
        <w:rPr>
          <w:rFonts w:ascii="Arial" w:cs="Arial" w:eastAsia="Arial" w:hAnsi="Arial"/>
          <w:sz w:val="20"/>
          <w:szCs w:val="20"/>
          <w:color w:val="auto"/>
        </w:rPr>
      </w:pPr>
    </w:p>
    <w:p>
      <w:pPr>
        <w:ind w:left="1500" w:hanging="743"/>
        <w:spacing w:after="0"/>
        <w:tabs>
          <w:tab w:leader="none" w:pos="1500"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Payment on Death of a Canadian Taxpayer</w:t>
      </w:r>
    </w:p>
    <w:p>
      <w:pPr>
        <w:spacing w:after="0" w:line="202" w:lineRule="exact"/>
        <w:rPr>
          <w:rFonts w:ascii="Arial" w:cs="Arial" w:eastAsia="Arial" w:hAnsi="Arial"/>
          <w:sz w:val="20"/>
          <w:szCs w:val="20"/>
          <w:color w:val="auto"/>
        </w:rPr>
      </w:pPr>
    </w:p>
    <w:p>
      <w:pPr>
        <w:jc w:val="both"/>
        <w:ind w:left="1500"/>
        <w:spacing w:after="0" w:line="247" w:lineRule="auto"/>
        <w:rPr>
          <w:rFonts w:ascii="Arial" w:cs="Arial" w:eastAsia="Arial" w:hAnsi="Arial"/>
          <w:sz w:val="20"/>
          <w:szCs w:val="20"/>
          <w:color w:val="auto"/>
        </w:rPr>
      </w:pPr>
      <w:r>
        <w:rPr>
          <w:rFonts w:ascii="Arial" w:cs="Arial" w:eastAsia="Arial" w:hAnsi="Arial"/>
          <w:sz w:val="20"/>
          <w:szCs w:val="20"/>
          <w:color w:val="auto"/>
        </w:rPr>
        <w:t>When a Director dies, the determined value of all Deferred Stock Units credited to that Director’s Deferred Stock Unit Account, net of applicable withholdings, shall be paid to his or her Beneficiary in cash as soon as practicable after the Director’s death, provided that the payment date must be a date subsequent to the Retirement Date and no later than December 31 of the first calendar year commencing after that Director’s Retirement Date.</w:t>
      </w:r>
    </w:p>
    <w:p>
      <w:pPr>
        <w:spacing w:after="0" w:line="180" w:lineRule="exact"/>
        <w:rPr>
          <w:rFonts w:ascii="Arial" w:cs="Arial" w:eastAsia="Arial" w:hAnsi="Arial"/>
          <w:sz w:val="20"/>
          <w:szCs w:val="20"/>
          <w:color w:val="auto"/>
        </w:rPr>
      </w:pPr>
    </w:p>
    <w:p>
      <w:pPr>
        <w:ind w:left="1500" w:hanging="743"/>
        <w:spacing w:after="0"/>
        <w:tabs>
          <w:tab w:leader="none" w:pos="1500"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Determining Value for Canadian Taxpayers</w:t>
      </w:r>
    </w:p>
    <w:p>
      <w:pPr>
        <w:spacing w:after="0" w:line="215" w:lineRule="exact"/>
        <w:rPr>
          <w:rFonts w:ascii="Arial" w:cs="Arial" w:eastAsia="Arial" w:hAnsi="Arial"/>
          <w:sz w:val="20"/>
          <w:szCs w:val="20"/>
          <w:color w:val="auto"/>
        </w:rPr>
      </w:pPr>
    </w:p>
    <w:p>
      <w:pPr>
        <w:jc w:val="both"/>
        <w:ind w:left="1500"/>
        <w:spacing w:after="0" w:line="245" w:lineRule="auto"/>
        <w:rPr>
          <w:rFonts w:ascii="Arial" w:cs="Arial" w:eastAsia="Arial" w:hAnsi="Arial"/>
          <w:sz w:val="20"/>
          <w:szCs w:val="20"/>
          <w:color w:val="auto"/>
        </w:rPr>
      </w:pPr>
      <w:r>
        <w:rPr>
          <w:rFonts w:ascii="Arial" w:cs="Arial" w:eastAsia="Arial" w:hAnsi="Arial"/>
          <w:sz w:val="20"/>
          <w:szCs w:val="20"/>
          <w:color w:val="auto"/>
        </w:rPr>
        <w:t>To determine the value of Deferred Stock Units for the purposes of a payment to a Director (or, where the Director has died, his or her Beneficiary) under Subsections 10(c), (d) or (e), a Deferred Stock Unit will be valued equal to the Market Value multiplied by the number of Deferred Stock Units (including fractional Units) credited to a Director’s Deferred Stock Unit Account on the following basis:</w:t>
      </w:r>
    </w:p>
    <w:p>
      <w:pPr>
        <w:spacing w:after="0" w:line="192" w:lineRule="exact"/>
        <w:rPr>
          <w:rFonts w:ascii="Arial" w:cs="Arial" w:eastAsia="Arial" w:hAnsi="Arial"/>
          <w:sz w:val="20"/>
          <w:szCs w:val="20"/>
          <w:color w:val="auto"/>
        </w:rPr>
      </w:pPr>
    </w:p>
    <w:p>
      <w:pPr>
        <w:ind w:left="2260" w:right="540" w:hanging="755"/>
        <w:spacing w:after="0" w:line="229" w:lineRule="auto"/>
        <w:tabs>
          <w:tab w:leader="none" w:pos="2260" w:val="left"/>
        </w:tabs>
        <w:numPr>
          <w:ilvl w:val="2"/>
          <w:numId w:val="36"/>
        </w:numPr>
        <w:rPr>
          <w:rFonts w:ascii="Arial" w:cs="Arial" w:eastAsia="Arial" w:hAnsi="Arial"/>
          <w:sz w:val="20"/>
          <w:szCs w:val="20"/>
          <w:color w:val="auto"/>
        </w:rPr>
      </w:pPr>
      <w:r>
        <w:rPr>
          <w:rFonts w:ascii="Arial" w:cs="Arial" w:eastAsia="Arial" w:hAnsi="Arial"/>
          <w:sz w:val="20"/>
          <w:szCs w:val="20"/>
          <w:color w:val="auto"/>
        </w:rPr>
        <w:t>for Subsections 10 (c) and (d), the Market Value on the third (3</w:t>
      </w:r>
      <w:r>
        <w:rPr>
          <w:rFonts w:ascii="Arial" w:cs="Arial" w:eastAsia="Arial" w:hAnsi="Arial"/>
          <w:sz w:val="26"/>
          <w:szCs w:val="26"/>
          <w:color w:val="auto"/>
          <w:vertAlign w:val="superscript"/>
        </w:rPr>
        <w:t>rd</w:t>
      </w:r>
      <w:r>
        <w:rPr>
          <w:rFonts w:ascii="Arial" w:cs="Arial" w:eastAsia="Arial" w:hAnsi="Arial"/>
          <w:sz w:val="20"/>
          <w:szCs w:val="20"/>
          <w:color w:val="auto"/>
        </w:rPr>
        <w:t>) Trading Day before the elected payment date; and</w:t>
      </w:r>
    </w:p>
    <w:p>
      <w:pPr>
        <w:spacing w:after="0" w:line="186" w:lineRule="exact"/>
        <w:rPr>
          <w:rFonts w:ascii="Arial" w:cs="Arial" w:eastAsia="Arial" w:hAnsi="Arial"/>
          <w:sz w:val="20"/>
          <w:szCs w:val="20"/>
          <w:color w:val="auto"/>
        </w:rPr>
      </w:pPr>
    </w:p>
    <w:p>
      <w:pPr>
        <w:ind w:left="2260" w:hanging="755"/>
        <w:spacing w:after="0"/>
        <w:tabs>
          <w:tab w:leader="none" w:pos="2260" w:val="left"/>
        </w:tabs>
        <w:numPr>
          <w:ilvl w:val="2"/>
          <w:numId w:val="36"/>
        </w:numPr>
        <w:rPr>
          <w:rFonts w:ascii="Arial" w:cs="Arial" w:eastAsia="Arial" w:hAnsi="Arial"/>
          <w:sz w:val="20"/>
          <w:szCs w:val="20"/>
          <w:color w:val="auto"/>
        </w:rPr>
      </w:pPr>
      <w:r>
        <w:rPr>
          <w:rFonts w:ascii="Arial" w:cs="Arial" w:eastAsia="Arial" w:hAnsi="Arial"/>
          <w:sz w:val="20"/>
          <w:szCs w:val="20"/>
          <w:color w:val="auto"/>
        </w:rPr>
        <w:t>for Subsection 10(e), the Market Value on the next Trading Day after the Director’s death.</w:t>
      </w:r>
    </w:p>
    <w:p>
      <w:pPr>
        <w:spacing w:after="0" w:line="202" w:lineRule="exact"/>
        <w:rPr>
          <w:rFonts w:ascii="Arial" w:cs="Arial" w:eastAsia="Arial" w:hAnsi="Arial"/>
          <w:sz w:val="20"/>
          <w:szCs w:val="20"/>
          <w:color w:val="auto"/>
        </w:rPr>
      </w:pPr>
    </w:p>
    <w:p>
      <w:pPr>
        <w:ind w:left="1500" w:hanging="743"/>
        <w:spacing w:after="0"/>
        <w:tabs>
          <w:tab w:leader="none" w:pos="1500"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Effect of Reorganization of the Corporation for Canadian Taxpayers</w:t>
      </w:r>
    </w:p>
    <w:p>
      <w:pPr>
        <w:spacing w:after="0" w:line="215" w:lineRule="exact"/>
        <w:rPr>
          <w:rFonts w:ascii="Arial" w:cs="Arial" w:eastAsia="Arial" w:hAnsi="Arial"/>
          <w:sz w:val="20"/>
          <w:szCs w:val="20"/>
          <w:color w:val="auto"/>
        </w:rPr>
      </w:pPr>
    </w:p>
    <w:p>
      <w:pPr>
        <w:jc w:val="both"/>
        <w:ind w:left="1500"/>
        <w:spacing w:after="0" w:line="255" w:lineRule="auto"/>
        <w:rPr>
          <w:rFonts w:ascii="Arial" w:cs="Arial" w:eastAsia="Arial" w:hAnsi="Arial"/>
          <w:sz w:val="20"/>
          <w:szCs w:val="20"/>
          <w:color w:val="auto"/>
        </w:rPr>
      </w:pPr>
      <w:r>
        <w:rPr>
          <w:rFonts w:ascii="Arial" w:cs="Arial" w:eastAsia="Arial" w:hAnsi="Arial"/>
          <w:sz w:val="20"/>
          <w:szCs w:val="20"/>
          <w:color w:val="auto"/>
        </w:rPr>
        <w:t>In the event of any merger, consolidation or other reorganization of the Corporation in which the Corporation is not the surviving or continuing corporation, all Deferred Stock Units granted hereunder and outstanding on the date of such reorganization shall be assumed by the surviving or continuing corporation.</w:t>
      </w:r>
    </w:p>
    <w:p>
      <w:pPr>
        <w:spacing w:after="0" w:line="169" w:lineRule="exact"/>
        <w:rPr>
          <w:rFonts w:ascii="Arial" w:cs="Arial" w:eastAsia="Arial" w:hAnsi="Arial"/>
          <w:sz w:val="20"/>
          <w:szCs w:val="20"/>
          <w:color w:val="auto"/>
        </w:rPr>
      </w:pPr>
    </w:p>
    <w:p>
      <w:pPr>
        <w:ind w:left="760" w:right="6060" w:hanging="752"/>
        <w:spacing w:after="0" w:line="483" w:lineRule="auto"/>
        <w:tabs>
          <w:tab w:leader="none" w:pos="760"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 xml:space="preserve">US TAXPAYER- DEFERRED STOCK UNITS </w:t>
      </w:r>
      <w:r>
        <w:rPr>
          <w:rFonts w:ascii="Arial" w:cs="Arial" w:eastAsia="Arial" w:hAnsi="Arial"/>
          <w:sz w:val="19"/>
          <w:szCs w:val="19"/>
          <w:b w:val="1"/>
          <w:bCs w:val="1"/>
          <w:color w:val="auto"/>
        </w:rPr>
        <w:t>This Section 11 only applies to U.S. Taxpayers:</w:t>
      </w:r>
    </w:p>
    <w:p>
      <w:pPr>
        <w:ind w:left="1500" w:hanging="743"/>
        <w:spacing w:after="0"/>
        <w:tabs>
          <w:tab w:leader="none" w:pos="1500" w:val="left"/>
        </w:tabs>
        <w:numPr>
          <w:ilvl w:val="1"/>
          <w:numId w:val="37"/>
        </w:numPr>
        <w:rPr>
          <w:rFonts w:ascii="Arial" w:cs="Arial" w:eastAsia="Arial" w:hAnsi="Arial"/>
          <w:sz w:val="20"/>
          <w:szCs w:val="20"/>
          <w:color w:val="auto"/>
        </w:rPr>
      </w:pPr>
      <w:r>
        <w:rPr>
          <w:rFonts w:ascii="Arial" w:cs="Arial" w:eastAsia="Arial" w:hAnsi="Arial"/>
          <w:sz w:val="20"/>
          <w:szCs w:val="20"/>
          <w:u w:val="single" w:color="auto"/>
          <w:color w:val="auto"/>
        </w:rPr>
        <w:t>Choice of Compensation Mix and Election Payment Date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8" w:name="page59"/>
    <w:bookmarkEnd w:id="58"/>
    <w:p>
      <w:pPr>
        <w:ind w:left="743" w:right="20"/>
        <w:spacing w:after="0" w:line="271" w:lineRule="auto"/>
        <w:rPr>
          <w:sz w:val="20"/>
          <w:szCs w:val="20"/>
          <w:color w:val="auto"/>
        </w:rPr>
      </w:pPr>
      <w:r>
        <w:rPr>
          <w:rFonts w:ascii="Arial" w:cs="Arial" w:eastAsia="Arial" w:hAnsi="Arial"/>
          <w:sz w:val="20"/>
          <w:szCs w:val="20"/>
          <w:color w:val="auto"/>
        </w:rPr>
        <w:t>Directors shall elect on or before December 31 of the calendar year immediately preceding the calendar year in which Compensation will be earned:</w:t>
      </w:r>
    </w:p>
    <w:p>
      <w:pPr>
        <w:spacing w:after="0" w:line="156" w:lineRule="exact"/>
        <w:rPr>
          <w:sz w:val="20"/>
          <w:szCs w:val="20"/>
          <w:color w:val="auto"/>
        </w:rPr>
      </w:pPr>
    </w:p>
    <w:p>
      <w:pPr>
        <w:jc w:val="both"/>
        <w:ind w:left="1503" w:hanging="755"/>
        <w:spacing w:after="0" w:line="245" w:lineRule="auto"/>
        <w:tabs>
          <w:tab w:leader="none" w:pos="1503"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portion of such Compensation, excluding any Supplemental Service Retainer, to be received by those Directors in cash, Shares or Deferred Stock Units in respect of that calendar year. If no election is made the Director shall, subject to any minimum amounts of cash, Shares or Deferred Stock Units as set out in Appendix “A”, be deemed to have elected 100% in cash;</w:t>
      </w:r>
    </w:p>
    <w:p>
      <w:pPr>
        <w:spacing w:after="0" w:line="181" w:lineRule="exact"/>
        <w:rPr>
          <w:rFonts w:ascii="Arial" w:cs="Arial" w:eastAsia="Arial" w:hAnsi="Arial"/>
          <w:sz w:val="20"/>
          <w:szCs w:val="20"/>
          <w:color w:val="auto"/>
        </w:rPr>
      </w:pPr>
    </w:p>
    <w:p>
      <w:pPr>
        <w:jc w:val="both"/>
        <w:ind w:left="1503" w:hanging="755"/>
        <w:spacing w:after="0" w:line="243" w:lineRule="auto"/>
        <w:tabs>
          <w:tab w:leader="none" w:pos="1503"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date, to be agreed upon by each of the Directors and the Corporation for payment of such Director’s Deferred Stock Unit Account where such date may be any date after that Director’s Retirement Date, provided that the payment date is after that Retirement Date and no later than December 31 of the first calendar year commencing after that Retirement Date. If no such payment date is determined, the Corporation, at its sole discretion, shall pay the amount owing from Director’s Deferred Stock Unit Account within ninety (90) days following that Director’s Retirement Date;</w:t>
      </w:r>
    </w:p>
    <w:p>
      <w:pPr>
        <w:spacing w:after="0" w:line="182" w:lineRule="exact"/>
        <w:rPr>
          <w:rFonts w:ascii="Arial" w:cs="Arial" w:eastAsia="Arial" w:hAnsi="Arial"/>
          <w:sz w:val="20"/>
          <w:szCs w:val="20"/>
          <w:color w:val="auto"/>
        </w:rPr>
      </w:pPr>
    </w:p>
    <w:p>
      <w:pPr>
        <w:jc w:val="both"/>
        <w:ind w:left="1503" w:hanging="755"/>
        <w:spacing w:after="0" w:line="242" w:lineRule="auto"/>
        <w:tabs>
          <w:tab w:leader="none" w:pos="1503" w:val="left"/>
        </w:tabs>
        <w:numPr>
          <w:ilvl w:val="1"/>
          <w:numId w:val="38"/>
        </w:numPr>
        <w:rPr>
          <w:rFonts w:ascii="Arial" w:cs="Arial" w:eastAsia="Arial" w:hAnsi="Arial"/>
          <w:sz w:val="20"/>
          <w:szCs w:val="20"/>
          <w:color w:val="auto"/>
        </w:rPr>
      </w:pPr>
      <w:r>
        <w:rPr>
          <w:rFonts w:ascii="Arial" w:cs="Arial" w:eastAsia="Arial" w:hAnsi="Arial"/>
          <w:sz w:val="20"/>
          <w:szCs w:val="20"/>
          <w:color w:val="auto"/>
        </w:rPr>
        <w:t>where a Director joins the Board after January 1 in any year, such Director shall make his or her election for both compensation mix and payment date within thirty (30) days of his or her election or appointment to the Board but only with respect to compensation not yet earned by the Director, and provided, however, that if under such election the Director elects to receive any portion of Compensation in Deferred Stock Units, such election will only be effective with respect to such portion on the first day of the next quarter of the Corporation following the date of the Corporation’s receipt of the election until the final day of that calendar year; and</w:t>
      </w:r>
    </w:p>
    <w:p>
      <w:pPr>
        <w:spacing w:after="0" w:line="185" w:lineRule="exact"/>
        <w:rPr>
          <w:rFonts w:ascii="Arial" w:cs="Arial" w:eastAsia="Arial" w:hAnsi="Arial"/>
          <w:sz w:val="20"/>
          <w:szCs w:val="20"/>
          <w:color w:val="auto"/>
        </w:rPr>
      </w:pPr>
    </w:p>
    <w:p>
      <w:pPr>
        <w:ind w:left="1503" w:right="20" w:hanging="755"/>
        <w:spacing w:after="0" w:line="271" w:lineRule="auto"/>
        <w:tabs>
          <w:tab w:leader="none" w:pos="1503" w:val="left"/>
        </w:tabs>
        <w:numPr>
          <w:ilvl w:val="1"/>
          <w:numId w:val="38"/>
        </w:numPr>
        <w:rPr>
          <w:rFonts w:ascii="Arial" w:cs="Arial" w:eastAsia="Arial" w:hAnsi="Arial"/>
          <w:sz w:val="20"/>
          <w:szCs w:val="20"/>
          <w:color w:val="auto"/>
        </w:rPr>
      </w:pPr>
      <w:r>
        <w:rPr>
          <w:rFonts w:ascii="Arial" w:cs="Arial" w:eastAsia="Arial" w:hAnsi="Arial"/>
          <w:sz w:val="20"/>
          <w:szCs w:val="20"/>
          <w:color w:val="auto"/>
        </w:rPr>
        <w:t>in all cases, the Directors’ elections shall be irrevocable and shall remain in force from the date of such election until the Director’s Retirement Date.</w:t>
      </w:r>
    </w:p>
    <w:p>
      <w:pPr>
        <w:spacing w:after="0" w:line="155" w:lineRule="exact"/>
        <w:rPr>
          <w:rFonts w:ascii="Arial" w:cs="Arial" w:eastAsia="Arial" w:hAnsi="Arial"/>
          <w:sz w:val="20"/>
          <w:szCs w:val="20"/>
          <w:color w:val="auto"/>
        </w:rPr>
      </w:pPr>
    </w:p>
    <w:p>
      <w:pPr>
        <w:ind w:left="743" w:hanging="743"/>
        <w:spacing w:after="0"/>
        <w:tabs>
          <w:tab w:leader="none" w:pos="743"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U.S. Election Form</w:t>
      </w:r>
    </w:p>
    <w:p>
      <w:pPr>
        <w:spacing w:after="0" w:line="215" w:lineRule="exact"/>
        <w:rPr>
          <w:rFonts w:ascii="Arial" w:cs="Arial" w:eastAsia="Arial" w:hAnsi="Arial"/>
          <w:sz w:val="20"/>
          <w:szCs w:val="20"/>
          <w:color w:val="auto"/>
        </w:rPr>
      </w:pPr>
    </w:p>
    <w:p>
      <w:pPr>
        <w:jc w:val="both"/>
        <w:ind w:left="743"/>
        <w:spacing w:after="0" w:line="248" w:lineRule="auto"/>
        <w:rPr>
          <w:rFonts w:ascii="Arial" w:cs="Arial" w:eastAsia="Arial" w:hAnsi="Arial"/>
          <w:sz w:val="20"/>
          <w:szCs w:val="20"/>
          <w:color w:val="auto"/>
        </w:rPr>
      </w:pPr>
      <w:r>
        <w:rPr>
          <w:rFonts w:ascii="Arial" w:cs="Arial" w:eastAsia="Arial" w:hAnsi="Arial"/>
          <w:sz w:val="20"/>
          <w:szCs w:val="20"/>
          <w:color w:val="auto"/>
        </w:rPr>
        <w:t>Each Director shall fill out a U.S. Election Form indicating their elected compensation mix and payment date of their Deferred Stock Unit Account and deliver such U.S. Election Form to the Corporation. Such form shall be irrevocable.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69" w:lineRule="exact"/>
        <w:rPr>
          <w:rFonts w:ascii="Arial" w:cs="Arial" w:eastAsia="Arial" w:hAnsi="Arial"/>
          <w:sz w:val="20"/>
          <w:szCs w:val="20"/>
          <w:color w:val="auto"/>
        </w:rPr>
      </w:pPr>
    </w:p>
    <w:p>
      <w:pPr>
        <w:ind w:left="743" w:hanging="743"/>
        <w:spacing w:after="0"/>
        <w:tabs>
          <w:tab w:leader="none" w:pos="743"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Specified Employee</w:t>
      </w:r>
    </w:p>
    <w:p>
      <w:pPr>
        <w:spacing w:after="0" w:line="215" w:lineRule="exact"/>
        <w:rPr>
          <w:rFonts w:ascii="Arial" w:cs="Arial" w:eastAsia="Arial" w:hAnsi="Arial"/>
          <w:sz w:val="20"/>
          <w:szCs w:val="20"/>
          <w:color w:val="auto"/>
        </w:rPr>
      </w:pPr>
    </w:p>
    <w:p>
      <w:pPr>
        <w:jc w:val="both"/>
        <w:ind w:left="743"/>
        <w:spacing w:after="0" w:line="243" w:lineRule="auto"/>
        <w:rPr>
          <w:rFonts w:ascii="Arial" w:cs="Arial" w:eastAsia="Arial" w:hAnsi="Arial"/>
          <w:sz w:val="20"/>
          <w:szCs w:val="20"/>
          <w:color w:val="auto"/>
        </w:rPr>
      </w:pPr>
      <w:r>
        <w:rPr>
          <w:rFonts w:ascii="Arial" w:cs="Arial" w:eastAsia="Arial" w:hAnsi="Arial"/>
          <w:sz w:val="20"/>
          <w:szCs w:val="20"/>
          <w:color w:val="auto"/>
        </w:rPr>
        <w:t>Notwithstanding Subsection 11 (a), if the payment of a Director’s Deferred Stock Unit Account would be subject to taxation or penalties under Code Section 409A because the timing of such payment is not delayed as provided in Section 409A for a “specified employee,” then if the Director is (1) a U.S. Taxpayer and (2) a “specified employee” under Code Section 409A, any payment which that Director would otherwise be entitled to receive during the six (6) month period following the Director’s Retirement Date shall be delayed and paid within fifteen (15) days after</w:t>
      </w:r>
    </w:p>
    <w:p>
      <w:pPr>
        <w:spacing w:after="0" w:line="344" w:lineRule="exact"/>
        <w:rPr>
          <w:sz w:val="20"/>
          <w:szCs w:val="20"/>
          <w:color w:val="auto"/>
        </w:rPr>
      </w:pPr>
    </w:p>
    <w:p>
      <w:pPr>
        <w:ind w:left="4803"/>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643890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4" w:right="339" w:bottom="1440" w:gutter="0" w:footer="0" w:header="0"/>
        </w:sectPr>
      </w:pPr>
    </w:p>
    <w:bookmarkStart w:id="59" w:name="page60"/>
    <w:bookmarkEnd w:id="59"/>
    <w:p>
      <w:pPr>
        <w:jc w:val="both"/>
        <w:ind w:left="743"/>
        <w:spacing w:after="0" w:line="255" w:lineRule="auto"/>
        <w:rPr>
          <w:sz w:val="20"/>
          <w:szCs w:val="20"/>
          <w:color w:val="auto"/>
        </w:rPr>
      </w:pPr>
      <w:r>
        <w:rPr>
          <w:rFonts w:ascii="Arial" w:cs="Arial" w:eastAsia="Arial" w:hAnsi="Arial"/>
          <w:sz w:val="20"/>
          <w:szCs w:val="20"/>
          <w:color w:val="auto"/>
        </w:rPr>
        <w:t>the date that is six (6) months following the Director’s Retirement Date, or such earlier date upon which such amount can be paid under Code Section 409A without being subject to such taxation, such as upon that Director’s death.</w:t>
      </w:r>
    </w:p>
    <w:p>
      <w:pPr>
        <w:spacing w:after="0" w:line="171" w:lineRule="exact"/>
        <w:rPr>
          <w:sz w:val="20"/>
          <w:szCs w:val="20"/>
          <w:color w:val="auto"/>
        </w:rPr>
      </w:pPr>
    </w:p>
    <w:p>
      <w:pPr>
        <w:ind w:left="743" w:hanging="743"/>
        <w:spacing w:after="0"/>
        <w:tabs>
          <w:tab w:leader="none" w:pos="743"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Payment on Death of a U.S. Taxpayer</w:t>
      </w:r>
    </w:p>
    <w:p>
      <w:pPr>
        <w:spacing w:after="0" w:line="202" w:lineRule="exact"/>
        <w:rPr>
          <w:rFonts w:ascii="Arial" w:cs="Arial" w:eastAsia="Arial" w:hAnsi="Arial"/>
          <w:sz w:val="20"/>
          <w:szCs w:val="20"/>
          <w:color w:val="auto"/>
        </w:rPr>
      </w:pPr>
    </w:p>
    <w:p>
      <w:pPr>
        <w:jc w:val="both"/>
        <w:ind w:left="743"/>
        <w:spacing w:after="0" w:line="250" w:lineRule="auto"/>
        <w:rPr>
          <w:rFonts w:ascii="Arial" w:cs="Arial" w:eastAsia="Arial" w:hAnsi="Arial"/>
          <w:sz w:val="20"/>
          <w:szCs w:val="20"/>
          <w:color w:val="auto"/>
        </w:rPr>
      </w:pPr>
      <w:r>
        <w:rPr>
          <w:rFonts w:ascii="Arial" w:cs="Arial" w:eastAsia="Arial" w:hAnsi="Arial"/>
          <w:sz w:val="20"/>
          <w:szCs w:val="20"/>
          <w:color w:val="auto"/>
        </w:rPr>
        <w:t>When a Director dies, the value of the Deferred Stock Unit Account, credited to that Director’s Deferred Stock Unit Account, net of applicable withholdings, shall be paid to his or her Beneficiary in the same manner as set forth in Section 10(e) for Canadian Taxpayers, and in all cases, not later than December 31 of the first calendar year commencing after that Director’s Retirement Date.</w:t>
      </w:r>
    </w:p>
    <w:p>
      <w:pPr>
        <w:spacing w:after="0" w:line="175" w:lineRule="exact"/>
        <w:rPr>
          <w:rFonts w:ascii="Arial" w:cs="Arial" w:eastAsia="Arial" w:hAnsi="Arial"/>
          <w:sz w:val="20"/>
          <w:szCs w:val="20"/>
          <w:color w:val="auto"/>
        </w:rPr>
      </w:pPr>
    </w:p>
    <w:p>
      <w:pPr>
        <w:ind w:left="443" w:hanging="443"/>
        <w:spacing w:after="0"/>
        <w:tabs>
          <w:tab w:leader="none" w:pos="443"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Determining Value for U.S. Taxpayers</w:t>
      </w:r>
    </w:p>
    <w:p>
      <w:pPr>
        <w:spacing w:after="0" w:line="216" w:lineRule="exact"/>
        <w:rPr>
          <w:sz w:val="20"/>
          <w:szCs w:val="20"/>
          <w:color w:val="auto"/>
        </w:rPr>
      </w:pPr>
    </w:p>
    <w:p>
      <w:pPr>
        <w:jc w:val="both"/>
        <w:ind w:left="743"/>
        <w:spacing w:after="0" w:line="245" w:lineRule="auto"/>
        <w:rPr>
          <w:sz w:val="20"/>
          <w:szCs w:val="20"/>
          <w:color w:val="auto"/>
        </w:rPr>
      </w:pPr>
      <w:r>
        <w:rPr>
          <w:rFonts w:ascii="Arial" w:cs="Arial" w:eastAsia="Arial" w:hAnsi="Arial"/>
          <w:sz w:val="20"/>
          <w:szCs w:val="20"/>
          <w:color w:val="auto"/>
        </w:rPr>
        <w:t>To determine the value of Deferred Stock Units for the purposes of a payment to a Director (or, where the Director has died, his or her Beneficiary) under Subsections 11(a)(ii), (iii), (c) or (d), a Deferred Stock Unit will be valued equal to the Market Value multiplied by the number of Deferred Stock Units (including fractional Units) credited to a Director’s Deferred Stock Unit Account on the following basis:</w:t>
      </w:r>
    </w:p>
    <w:p>
      <w:pPr>
        <w:spacing w:after="0" w:line="193" w:lineRule="exact"/>
        <w:rPr>
          <w:sz w:val="20"/>
          <w:szCs w:val="20"/>
          <w:color w:val="auto"/>
        </w:rPr>
      </w:pPr>
    </w:p>
    <w:p>
      <w:pPr>
        <w:ind w:left="1503" w:hanging="754"/>
        <w:spacing w:after="0" w:line="223" w:lineRule="auto"/>
        <w:tabs>
          <w:tab w:leader="none" w:pos="1194" w:val="left"/>
        </w:tabs>
        <w:numPr>
          <w:ilvl w:val="0"/>
          <w:numId w:val="41"/>
        </w:numPr>
        <w:rPr>
          <w:rFonts w:ascii="Arial" w:cs="Arial" w:eastAsia="Arial" w:hAnsi="Arial"/>
          <w:sz w:val="20"/>
          <w:szCs w:val="20"/>
          <w:color w:val="auto"/>
        </w:rPr>
      </w:pPr>
      <w:r>
        <w:rPr>
          <w:rFonts w:ascii="Arial" w:cs="Arial" w:eastAsia="Arial" w:hAnsi="Arial"/>
          <w:sz w:val="20"/>
          <w:szCs w:val="20"/>
          <w:color w:val="auto"/>
        </w:rPr>
        <w:t>for Subsections 11(a)(ii),(iii) and (c), the Market Value on the third (3</w:t>
      </w:r>
      <w:r>
        <w:rPr>
          <w:rFonts w:ascii="Arial" w:cs="Arial" w:eastAsia="Arial" w:hAnsi="Arial"/>
          <w:sz w:val="26"/>
          <w:szCs w:val="26"/>
          <w:color w:val="auto"/>
          <w:vertAlign w:val="superscript"/>
        </w:rPr>
        <w:t>rd</w:t>
      </w:r>
      <w:r>
        <w:rPr>
          <w:rFonts w:ascii="Arial" w:cs="Arial" w:eastAsia="Arial" w:hAnsi="Arial"/>
          <w:sz w:val="20"/>
          <w:szCs w:val="20"/>
          <w:color w:val="auto"/>
        </w:rPr>
        <w:t>) Trading Day before the elected payment date; and</w:t>
      </w:r>
    </w:p>
    <w:p>
      <w:pPr>
        <w:spacing w:after="0" w:line="185" w:lineRule="exact"/>
        <w:rPr>
          <w:rFonts w:ascii="Arial" w:cs="Arial" w:eastAsia="Arial" w:hAnsi="Arial"/>
          <w:sz w:val="20"/>
          <w:szCs w:val="20"/>
          <w:color w:val="auto"/>
        </w:rPr>
      </w:pPr>
    </w:p>
    <w:p>
      <w:pPr>
        <w:ind w:left="1183" w:hanging="434"/>
        <w:spacing w:after="0"/>
        <w:tabs>
          <w:tab w:leader="none" w:pos="1183" w:val="left"/>
        </w:tabs>
        <w:numPr>
          <w:ilvl w:val="0"/>
          <w:numId w:val="41"/>
        </w:numPr>
        <w:rPr>
          <w:rFonts w:ascii="Arial" w:cs="Arial" w:eastAsia="Arial" w:hAnsi="Arial"/>
          <w:sz w:val="20"/>
          <w:szCs w:val="20"/>
          <w:color w:val="auto"/>
        </w:rPr>
      </w:pPr>
      <w:r>
        <w:rPr>
          <w:rFonts w:ascii="Arial" w:cs="Arial" w:eastAsia="Arial" w:hAnsi="Arial"/>
          <w:sz w:val="20"/>
          <w:szCs w:val="20"/>
          <w:color w:val="auto"/>
        </w:rPr>
        <w:t>for Subsection 11(d), the Market Value on the next Trading Day after the Director’s death.</w:t>
      </w:r>
    </w:p>
    <w:p>
      <w:pPr>
        <w:spacing w:after="0" w:line="216" w:lineRule="exact"/>
        <w:rPr>
          <w:sz w:val="20"/>
          <w:szCs w:val="20"/>
          <w:color w:val="auto"/>
        </w:rPr>
      </w:pPr>
    </w:p>
    <w:p>
      <w:pPr>
        <w:ind w:left="623" w:hanging="568"/>
        <w:spacing w:after="0"/>
        <w:tabs>
          <w:tab w:leader="none" w:pos="623"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Dual-Taxed Members</w:t>
      </w:r>
    </w:p>
    <w:p>
      <w:pPr>
        <w:spacing w:after="0" w:line="202" w:lineRule="exact"/>
        <w:rPr>
          <w:sz w:val="20"/>
          <w:szCs w:val="20"/>
          <w:color w:val="auto"/>
        </w:rPr>
      </w:pPr>
    </w:p>
    <w:p>
      <w:pPr>
        <w:ind w:left="743"/>
        <w:spacing w:after="0" w:line="271" w:lineRule="auto"/>
        <w:rPr>
          <w:sz w:val="20"/>
          <w:szCs w:val="20"/>
          <w:color w:val="auto"/>
        </w:rPr>
      </w:pPr>
      <w:r>
        <w:rPr>
          <w:rFonts w:ascii="Arial" w:cs="Arial" w:eastAsia="Arial" w:hAnsi="Arial"/>
          <w:sz w:val="20"/>
          <w:szCs w:val="20"/>
          <w:color w:val="auto"/>
        </w:rPr>
        <w:t>In the event that a Director is both a U.S. Taxpayer and a Canadian Taxpayer at the time that the Director’s Deferred Stock Units become payable, the provisions of this Section 11(f) shall apply:</w:t>
      </w:r>
    </w:p>
    <w:p>
      <w:pPr>
        <w:spacing w:after="0" w:line="156" w:lineRule="exact"/>
        <w:rPr>
          <w:sz w:val="20"/>
          <w:szCs w:val="20"/>
          <w:color w:val="auto"/>
        </w:rPr>
      </w:pPr>
    </w:p>
    <w:p>
      <w:pPr>
        <w:jc w:val="both"/>
        <w:ind w:left="1503" w:hanging="755"/>
        <w:spacing w:after="0" w:line="255" w:lineRule="auto"/>
        <w:tabs>
          <w:tab w:leader="none" w:pos="1503" w:val="left"/>
        </w:tabs>
        <w:numPr>
          <w:ilvl w:val="0"/>
          <w:numId w:val="43"/>
        </w:numPr>
        <w:rPr>
          <w:rFonts w:ascii="Arial" w:cs="Arial" w:eastAsia="Arial" w:hAnsi="Arial"/>
          <w:sz w:val="20"/>
          <w:szCs w:val="20"/>
          <w:color w:val="auto"/>
        </w:rPr>
      </w:pPr>
      <w:r>
        <w:rPr>
          <w:rFonts w:ascii="Arial" w:cs="Arial" w:eastAsia="Arial" w:hAnsi="Arial"/>
          <w:sz w:val="20"/>
          <w:szCs w:val="20"/>
          <w:color w:val="auto"/>
        </w:rPr>
        <w:t>If the Director has made a valid election under Section 11(a) and (b) with regard to payment of the Director’s Deferred Stock Units, payment of such Director’s Deferred Stock Unit Account shall be made in accordance such election, subject to Section 11(c).</w:t>
      </w:r>
    </w:p>
    <w:p>
      <w:pPr>
        <w:spacing w:after="0" w:line="171" w:lineRule="exact"/>
        <w:rPr>
          <w:rFonts w:ascii="Arial" w:cs="Arial" w:eastAsia="Arial" w:hAnsi="Arial"/>
          <w:sz w:val="20"/>
          <w:szCs w:val="20"/>
          <w:color w:val="auto"/>
        </w:rPr>
      </w:pPr>
    </w:p>
    <w:p>
      <w:pPr>
        <w:jc w:val="both"/>
        <w:ind w:left="1503" w:hanging="755"/>
        <w:spacing w:after="0" w:line="245" w:lineRule="auto"/>
        <w:tabs>
          <w:tab w:leader="none" w:pos="1503" w:val="left"/>
        </w:tabs>
        <w:numPr>
          <w:ilvl w:val="0"/>
          <w:numId w:val="43"/>
        </w:numPr>
        <w:rPr>
          <w:rFonts w:ascii="Arial" w:cs="Arial" w:eastAsia="Arial" w:hAnsi="Arial"/>
          <w:sz w:val="20"/>
          <w:szCs w:val="20"/>
          <w:color w:val="auto"/>
        </w:rPr>
      </w:pPr>
      <w:r>
        <w:rPr>
          <w:rFonts w:ascii="Arial" w:cs="Arial" w:eastAsia="Arial" w:hAnsi="Arial"/>
          <w:sz w:val="20"/>
          <w:szCs w:val="20"/>
          <w:color w:val="auto"/>
        </w:rPr>
        <w:t>If the Director has not made a valid election under Section 11(a) and (b) with regard to payment of the Director’s Deferred Stock Units, payment of such Director’s Deferred Stock Unit Account shall be made as of a date determined by the Corporation in its discretion, with such payment date to be within ninety (90) days following the Director’s Retirement Date, subject to the following:</w:t>
      </w:r>
    </w:p>
    <w:p>
      <w:pPr>
        <w:spacing w:after="0" w:line="343" w:lineRule="exact"/>
        <w:rPr>
          <w:sz w:val="20"/>
          <w:szCs w:val="20"/>
          <w:color w:val="auto"/>
        </w:rPr>
      </w:pPr>
    </w:p>
    <w:p>
      <w:pPr>
        <w:ind w:left="4763"/>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643890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4" w:right="339" w:bottom="1440" w:gutter="0" w:footer="0" w:header="0"/>
        </w:sectPr>
      </w:pPr>
    </w:p>
    <w:bookmarkStart w:id="60" w:name="page61"/>
    <w:bookmarkEnd w:id="60"/>
    <w:p>
      <w:pPr>
        <w:jc w:val="both"/>
        <w:ind w:left="3000" w:hanging="746"/>
        <w:spacing w:after="0" w:line="250" w:lineRule="auto"/>
        <w:tabs>
          <w:tab w:leader="none" w:pos="3000" w:val="left"/>
        </w:tabs>
        <w:numPr>
          <w:ilvl w:val="1"/>
          <w:numId w:val="44"/>
        </w:numPr>
        <w:rPr>
          <w:rFonts w:ascii="Arial" w:cs="Arial" w:eastAsia="Arial" w:hAnsi="Arial"/>
          <w:sz w:val="20"/>
          <w:szCs w:val="20"/>
          <w:color w:val="auto"/>
        </w:rPr>
      </w:pPr>
      <w:r>
        <w:rPr>
          <w:rFonts w:ascii="Arial" w:cs="Arial" w:eastAsia="Arial" w:hAnsi="Arial"/>
          <w:sz w:val="20"/>
          <w:szCs w:val="20"/>
          <w:color w:val="auto"/>
        </w:rPr>
        <w:t>If the ninety (90) day period begins in one calendar year and ends in the following calendar year, the payment date within such 90-day period shall be determined in the sole discretion of the Corporation, and the Director shall not be permitted to make a payment election under Section 10(c) of the Plan that applies for a Canadian Taxpayer; or</w:t>
      </w:r>
    </w:p>
    <w:p>
      <w:pPr>
        <w:spacing w:after="0" w:line="162" w:lineRule="exact"/>
        <w:rPr>
          <w:rFonts w:ascii="Arial" w:cs="Arial" w:eastAsia="Arial" w:hAnsi="Arial"/>
          <w:sz w:val="20"/>
          <w:szCs w:val="20"/>
          <w:color w:val="auto"/>
        </w:rPr>
      </w:pPr>
    </w:p>
    <w:p>
      <w:pPr>
        <w:jc w:val="both"/>
        <w:ind w:left="3000" w:right="20" w:hanging="746"/>
        <w:spacing w:after="0" w:line="250" w:lineRule="auto"/>
        <w:tabs>
          <w:tab w:leader="none" w:pos="3000" w:val="left"/>
        </w:tabs>
        <w:numPr>
          <w:ilvl w:val="1"/>
          <w:numId w:val="44"/>
        </w:numPr>
        <w:rPr>
          <w:rFonts w:ascii="Arial" w:cs="Arial" w:eastAsia="Arial" w:hAnsi="Arial"/>
          <w:sz w:val="20"/>
          <w:szCs w:val="20"/>
          <w:color w:val="auto"/>
        </w:rPr>
      </w:pPr>
      <w:r>
        <w:rPr>
          <w:rFonts w:ascii="Arial" w:cs="Arial" w:eastAsia="Arial" w:hAnsi="Arial"/>
          <w:sz w:val="20"/>
          <w:szCs w:val="20"/>
          <w:color w:val="auto"/>
        </w:rPr>
        <w:t>If the ninety (90) day period begins and ends in the same calendar year, the Director shall be permitted to make a payment election under Section 10(c) of the Plan, but the payment date elected by the Director must fall within the 90-day period following the Director’s Retirement Date.</w:t>
      </w:r>
    </w:p>
    <w:p>
      <w:pPr>
        <w:spacing w:after="0" w:line="175" w:lineRule="exact"/>
        <w:rPr>
          <w:rFonts w:ascii="Arial" w:cs="Arial" w:eastAsia="Arial" w:hAnsi="Arial"/>
          <w:sz w:val="20"/>
          <w:szCs w:val="20"/>
          <w:color w:val="auto"/>
        </w:rPr>
      </w:pPr>
    </w:p>
    <w:p>
      <w:pPr>
        <w:ind w:left="1200" w:hanging="443"/>
        <w:spacing w:after="0"/>
        <w:tabs>
          <w:tab w:leader="none" w:pos="120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Code Section 409A Compliance</w:t>
      </w:r>
    </w:p>
    <w:p>
      <w:pPr>
        <w:spacing w:after="0" w:line="216" w:lineRule="exact"/>
        <w:rPr>
          <w:sz w:val="20"/>
          <w:szCs w:val="20"/>
          <w:color w:val="auto"/>
        </w:rPr>
      </w:pPr>
    </w:p>
    <w:p>
      <w:pPr>
        <w:jc w:val="both"/>
        <w:ind w:left="1500"/>
        <w:spacing w:after="0" w:line="253" w:lineRule="auto"/>
        <w:rPr>
          <w:sz w:val="20"/>
          <w:szCs w:val="20"/>
          <w:color w:val="auto"/>
        </w:rPr>
      </w:pPr>
      <w:r>
        <w:rPr>
          <w:rFonts w:ascii="Arial" w:cs="Arial" w:eastAsia="Arial" w:hAnsi="Arial"/>
          <w:sz w:val="19"/>
          <w:szCs w:val="19"/>
          <w:color w:val="auto"/>
        </w:rPr>
        <w:t xml:space="preserve">With respect to any Director who is a U.S. Taxpayer, the Corporation intends that this Plan shall comply with the applicable provisions of Code Section 409A, or an exemption from the application of Code Section 409A, in order to prevent the inclusion in the gross income of such Director of any deferred amount in a taxable year that is prior to the taxable year in which such amount would otherwise be distributed or made available to such Director under the terms of this Plan. With respect to any Director who is or becomes a Dual-Taxed Member, the Corporation intends that this Plan shall comply with the applicable provisions of Code Section 409A, or an exemption from the application of Code Section 409A, and be a prescribed plan under paragraph 6801(d) of the </w:t>
      </w:r>
      <w:r>
        <w:rPr>
          <w:rFonts w:ascii="Arial" w:cs="Arial" w:eastAsia="Arial" w:hAnsi="Arial"/>
          <w:sz w:val="19"/>
          <w:szCs w:val="19"/>
          <w:i w:val="1"/>
          <w:iCs w:val="1"/>
          <w:color w:val="auto"/>
        </w:rPr>
        <w:t>Income Tax Regulations</w:t>
      </w:r>
      <w:r>
        <w:rPr>
          <w:rFonts w:ascii="Arial" w:cs="Arial" w:eastAsia="Arial" w:hAnsi="Arial"/>
          <w:sz w:val="19"/>
          <w:szCs w:val="19"/>
          <w:color w:val="auto"/>
        </w:rPr>
        <w:t xml:space="preserve"> (Canada), or any successor provision, in order to qualify as a “prescribed plan or arrangement” for the purposes of the definition of a “salary deferral arrangement” contained in subsection 248(1) of the </w:t>
      </w:r>
      <w:r>
        <w:rPr>
          <w:rFonts w:ascii="Arial" w:cs="Arial" w:eastAsia="Arial" w:hAnsi="Arial"/>
          <w:sz w:val="19"/>
          <w:szCs w:val="19"/>
          <w:i w:val="1"/>
          <w:iCs w:val="1"/>
          <w:color w:val="auto"/>
        </w:rPr>
        <w:t>Income Tax Act</w:t>
      </w:r>
      <w:r>
        <w:rPr>
          <w:rFonts w:ascii="Arial" w:cs="Arial" w:eastAsia="Arial" w:hAnsi="Arial"/>
          <w:sz w:val="19"/>
          <w:szCs w:val="19"/>
          <w:color w:val="auto"/>
        </w:rPr>
        <w:t xml:space="preserve"> (Canada). This Plan shall be construed, interpreted and administered in a manner consistent with such intent. In furtherance of this intent, to the extent that any term of this Plan is ambiguous, such term shall be interpreted to comply with Code Section 409A, or an exemption from the application of Code Section 409A, and, if applicable, shall be interpreted to comply with the requirements of paragraph 6801(d) of the </w:t>
      </w:r>
      <w:r>
        <w:rPr>
          <w:rFonts w:ascii="Arial" w:cs="Arial" w:eastAsia="Arial" w:hAnsi="Arial"/>
          <w:sz w:val="19"/>
          <w:szCs w:val="19"/>
          <w:i w:val="1"/>
          <w:iCs w:val="1"/>
          <w:color w:val="auto"/>
        </w:rPr>
        <w:t>Income Tax Regulations</w:t>
      </w:r>
      <w:r>
        <w:rPr>
          <w:rFonts w:ascii="Arial" w:cs="Arial" w:eastAsia="Arial" w:hAnsi="Arial"/>
          <w:sz w:val="19"/>
          <w:szCs w:val="19"/>
          <w:color w:val="auto"/>
        </w:rPr>
        <w:t xml:space="preserve"> (Canada), as determined by the Corporation.</w:t>
      </w:r>
    </w:p>
    <w:p>
      <w:pPr>
        <w:spacing w:after="0" w:line="164" w:lineRule="exact"/>
        <w:rPr>
          <w:sz w:val="20"/>
          <w:szCs w:val="20"/>
          <w:color w:val="auto"/>
        </w:rPr>
      </w:pPr>
    </w:p>
    <w:p>
      <w:pPr>
        <w:jc w:val="both"/>
        <w:ind w:left="1500"/>
        <w:spacing w:after="0" w:line="242" w:lineRule="auto"/>
        <w:rPr>
          <w:sz w:val="20"/>
          <w:szCs w:val="20"/>
          <w:color w:val="auto"/>
        </w:rPr>
      </w:pPr>
      <w:r>
        <w:rPr>
          <w:rFonts w:ascii="Arial" w:cs="Arial" w:eastAsia="Arial" w:hAnsi="Arial"/>
          <w:sz w:val="20"/>
          <w:szCs w:val="20"/>
          <w:color w:val="auto"/>
        </w:rPr>
        <w:t xml:space="preserve">For purposes of US Taxpayers subject to this Section 11, references in the Plan to “Retirement Date” shall be construed as also requiring a simultaneous Separation of Service. If such US Taxpayer does not experience a simultaneous Separation from Service and Retirement Date, such DSUs shall be immediately and irrevocably forfeited. The Corporation and the Participant who is a US Taxpayer shall take any and all reasonable actions to ensure the Participant does not experience a Retirement Date but not a Separation from Service, and vice versa. For this purpose, </w:t>
      </w:r>
      <w:r>
        <w:rPr>
          <w:rFonts w:ascii="Arial" w:cs="Arial" w:eastAsia="Arial" w:hAnsi="Arial"/>
          <w:sz w:val="20"/>
          <w:szCs w:val="20"/>
          <w:b w:val="1"/>
          <w:bCs w:val="1"/>
          <w:color w:val="auto"/>
        </w:rPr>
        <w:t>“</w:t>
      </w:r>
      <w:r>
        <w:rPr>
          <w:rFonts w:ascii="Arial" w:cs="Arial" w:eastAsia="Arial" w:hAnsi="Arial"/>
          <w:sz w:val="20"/>
          <w:szCs w:val="20"/>
          <w:color w:val="auto"/>
        </w:rPr>
        <w:t>Separation from Service</w:t>
      </w:r>
      <w:r>
        <w:rPr>
          <w:rFonts w:ascii="Arial" w:cs="Arial" w:eastAsia="Arial" w:hAnsi="Arial"/>
          <w:sz w:val="20"/>
          <w:szCs w:val="20"/>
          <w:b w:val="1"/>
          <w:bCs w:val="1"/>
          <w:color w:val="auto"/>
        </w:rPr>
        <w:t>”</w:t>
      </w:r>
      <w:r>
        <w:rPr>
          <w:rFonts w:ascii="Arial" w:cs="Arial" w:eastAsia="Arial" w:hAnsi="Arial"/>
          <w:sz w:val="20"/>
          <w:szCs w:val="20"/>
          <w:color w:val="auto"/>
        </w:rPr>
        <w:t xml:space="preserve"> has the meaning set forth in Code Section 409A(a)(2)(A)(i) and Treas. Reg. Section 1.409A-1(h).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60" w:hanging="752"/>
        <w:spacing w:after="0"/>
        <w:tabs>
          <w:tab w:leader="none" w:pos="76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BROKERAGE COMMISSIONS</w:t>
      </w:r>
    </w:p>
    <w:p>
      <w:pPr>
        <w:spacing w:after="0" w:line="217" w:lineRule="exact"/>
        <w:rPr>
          <w:rFonts w:ascii="Arial" w:cs="Arial" w:eastAsia="Arial" w:hAnsi="Arial"/>
          <w:sz w:val="20"/>
          <w:szCs w:val="20"/>
          <w:b w:val="1"/>
          <w:bCs w:val="1"/>
          <w:color w:val="auto"/>
        </w:rPr>
      </w:pPr>
    </w:p>
    <w:p>
      <w:pPr>
        <w:ind w:left="760" w:right="20"/>
        <w:spacing w:after="0" w:line="271" w:lineRule="auto"/>
        <w:rPr>
          <w:rFonts w:ascii="Arial" w:cs="Arial" w:eastAsia="Arial" w:hAnsi="Arial"/>
          <w:sz w:val="20"/>
          <w:szCs w:val="20"/>
          <w:b w:val="1"/>
          <w:bCs w:val="1"/>
          <w:color w:val="auto"/>
        </w:rPr>
      </w:pPr>
      <w:r>
        <w:rPr>
          <w:rFonts w:ascii="Arial" w:cs="Arial" w:eastAsia="Arial" w:hAnsi="Arial"/>
          <w:sz w:val="20"/>
          <w:szCs w:val="20"/>
          <w:color w:val="auto"/>
        </w:rPr>
        <w:t>All brokerage commissions and other transaction costs in respect of Share purchases made under Section 8 of this Plan shall be paid by the Corporation.</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61" w:name="page62"/>
    <w:bookmarkEnd w:id="61"/>
    <w:p>
      <w:pPr>
        <w:ind w:left="760" w:hanging="752"/>
        <w:spacing w:after="0"/>
        <w:tabs>
          <w:tab w:leader="none" w:pos="76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TAXES AND REPORTING</w:t>
      </w:r>
    </w:p>
    <w:p>
      <w:pPr>
        <w:spacing w:after="0" w:line="217" w:lineRule="exact"/>
        <w:rPr>
          <w:rFonts w:ascii="Arial" w:cs="Arial" w:eastAsia="Arial" w:hAnsi="Arial"/>
          <w:sz w:val="20"/>
          <w:szCs w:val="20"/>
          <w:b w:val="1"/>
          <w:bCs w:val="1"/>
          <w:color w:val="auto"/>
        </w:rPr>
      </w:pPr>
    </w:p>
    <w:p>
      <w:pPr>
        <w:jc w:val="both"/>
        <w:ind w:left="1500" w:hanging="743"/>
        <w:spacing w:after="0" w:line="255" w:lineRule="auto"/>
        <w:tabs>
          <w:tab w:leader="none" w:pos="1500"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Corporation shall deduct from all amounts otherwise payable to a Director (or Beneficiary) all amounts, including applicable taxes, that are required by law to be withheld with respect to the amount otherwise payable.</w:t>
      </w:r>
    </w:p>
    <w:p>
      <w:pPr>
        <w:spacing w:after="0" w:line="157" w:lineRule="exact"/>
        <w:rPr>
          <w:rFonts w:ascii="Arial" w:cs="Arial" w:eastAsia="Arial" w:hAnsi="Arial"/>
          <w:sz w:val="20"/>
          <w:szCs w:val="20"/>
          <w:color w:val="auto"/>
        </w:rPr>
      </w:pPr>
    </w:p>
    <w:p>
      <w:pPr>
        <w:ind w:left="1500" w:hanging="743"/>
        <w:spacing w:after="0" w:line="271" w:lineRule="auto"/>
        <w:tabs>
          <w:tab w:leader="none" w:pos="1500" w:val="left"/>
        </w:tabs>
        <w:numPr>
          <w:ilvl w:val="1"/>
          <w:numId w:val="47"/>
        </w:numPr>
        <w:rPr>
          <w:rFonts w:ascii="Arial" w:cs="Arial" w:eastAsia="Arial" w:hAnsi="Arial"/>
          <w:sz w:val="20"/>
          <w:szCs w:val="20"/>
          <w:color w:val="auto"/>
        </w:rPr>
      </w:pPr>
      <w:r>
        <w:rPr>
          <w:rFonts w:ascii="Arial" w:cs="Arial" w:eastAsia="Arial" w:hAnsi="Arial"/>
          <w:sz w:val="20"/>
          <w:szCs w:val="20"/>
          <w:color w:val="auto"/>
        </w:rPr>
        <w:t>Notwithstanding anything else contained herein, each Director who participates in this Plan shall be responsible for:</w:t>
      </w:r>
    </w:p>
    <w:p>
      <w:pPr>
        <w:spacing w:after="0" w:line="155" w:lineRule="exact"/>
        <w:rPr>
          <w:rFonts w:ascii="Arial" w:cs="Arial" w:eastAsia="Arial" w:hAnsi="Arial"/>
          <w:sz w:val="20"/>
          <w:szCs w:val="20"/>
          <w:color w:val="auto"/>
        </w:rPr>
      </w:pPr>
    </w:p>
    <w:p>
      <w:pPr>
        <w:jc w:val="both"/>
        <w:ind w:left="2260" w:hanging="755"/>
        <w:spacing w:after="0" w:line="250" w:lineRule="auto"/>
        <w:tabs>
          <w:tab w:leader="none" w:pos="2260" w:val="left"/>
        </w:tabs>
        <w:numPr>
          <w:ilvl w:val="2"/>
          <w:numId w:val="47"/>
        </w:numPr>
        <w:rPr>
          <w:rFonts w:ascii="Arial" w:cs="Arial" w:eastAsia="Arial" w:hAnsi="Arial"/>
          <w:sz w:val="20"/>
          <w:szCs w:val="20"/>
          <w:color w:val="auto"/>
        </w:rPr>
      </w:pPr>
      <w:r>
        <w:rPr>
          <w:rFonts w:ascii="Arial" w:cs="Arial" w:eastAsia="Arial" w:hAnsi="Arial"/>
          <w:sz w:val="20"/>
          <w:szCs w:val="20"/>
          <w:color w:val="auto"/>
        </w:rPr>
        <w:t>the payment of all applicable taxes including, but not limited to, income taxes payable in connection with the acquisition, holding and delivery of Shares for or to a Director pursuant to this Plan and the payment of the value of the Deferred Stock Units, subject to deduction and remittance by the Corporation of applicable withholding taxes; and</w:t>
      </w:r>
    </w:p>
    <w:p>
      <w:pPr>
        <w:spacing w:after="0" w:line="162" w:lineRule="exact"/>
        <w:rPr>
          <w:rFonts w:ascii="Arial" w:cs="Arial" w:eastAsia="Arial" w:hAnsi="Arial"/>
          <w:sz w:val="20"/>
          <w:szCs w:val="20"/>
          <w:color w:val="auto"/>
        </w:rPr>
      </w:pPr>
    </w:p>
    <w:p>
      <w:pPr>
        <w:jc w:val="both"/>
        <w:ind w:left="2260" w:hanging="755"/>
        <w:spacing w:after="0" w:line="250" w:lineRule="auto"/>
        <w:tabs>
          <w:tab w:leader="none" w:pos="2260" w:val="left"/>
        </w:tabs>
        <w:numPr>
          <w:ilvl w:val="2"/>
          <w:numId w:val="47"/>
        </w:numPr>
        <w:rPr>
          <w:rFonts w:ascii="Arial" w:cs="Arial" w:eastAsia="Arial" w:hAnsi="Arial"/>
          <w:sz w:val="20"/>
          <w:szCs w:val="20"/>
          <w:color w:val="auto"/>
        </w:rPr>
      </w:pPr>
      <w:r>
        <w:rPr>
          <w:rFonts w:ascii="Arial" w:cs="Arial" w:eastAsia="Arial" w:hAnsi="Arial"/>
          <w:sz w:val="20"/>
          <w:szCs w:val="20"/>
          <w:color w:val="auto"/>
        </w:rPr>
        <w:t>compliance with the continuous disclosure requirements of the applicable securities commissions or similar regulatory authorities in Canada and those exchanges upon which the Corporation’s Shares are traded, including, but not limited to, the preparation and filing of insider trading reports respecting the acquisition of Shares pursuant to this Plan,</w:t>
      </w:r>
    </w:p>
    <w:p>
      <w:pPr>
        <w:spacing w:after="0" w:line="176" w:lineRule="exact"/>
        <w:rPr>
          <w:sz w:val="20"/>
          <w:szCs w:val="20"/>
          <w:color w:val="auto"/>
        </w:rPr>
      </w:pPr>
    </w:p>
    <w:p>
      <w:pPr>
        <w:ind w:left="760"/>
        <w:spacing w:after="0" w:line="271" w:lineRule="auto"/>
        <w:rPr>
          <w:sz w:val="20"/>
          <w:szCs w:val="20"/>
          <w:color w:val="auto"/>
        </w:rPr>
      </w:pPr>
      <w:r>
        <w:rPr>
          <w:rFonts w:ascii="Arial" w:cs="Arial" w:eastAsia="Arial" w:hAnsi="Arial"/>
          <w:sz w:val="20"/>
          <w:szCs w:val="20"/>
          <w:color w:val="auto"/>
        </w:rPr>
        <w:t>and the Corporation, its employees and agents shall bear no liability in connection with the payment of such taxes or the compliance with such disclosure requirements.</w:t>
      </w:r>
    </w:p>
    <w:p>
      <w:pPr>
        <w:spacing w:after="0" w:line="154" w:lineRule="exact"/>
        <w:rPr>
          <w:sz w:val="20"/>
          <w:szCs w:val="20"/>
          <w:color w:val="auto"/>
        </w:rPr>
      </w:pPr>
    </w:p>
    <w:p>
      <w:pPr>
        <w:ind w:left="760" w:hanging="752"/>
        <w:spacing w:after="0"/>
        <w:tabs>
          <w:tab w:leader="none" w:pos="76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DILUTION ADJUSTMENTS</w:t>
      </w:r>
    </w:p>
    <w:p>
      <w:pPr>
        <w:spacing w:after="0" w:line="204" w:lineRule="exact"/>
        <w:rPr>
          <w:rFonts w:ascii="Arial" w:cs="Arial" w:eastAsia="Arial" w:hAnsi="Arial"/>
          <w:sz w:val="20"/>
          <w:szCs w:val="20"/>
          <w:b w:val="1"/>
          <w:bCs w:val="1"/>
          <w:color w:val="auto"/>
        </w:rPr>
      </w:pPr>
    </w:p>
    <w:p>
      <w:pPr>
        <w:jc w:val="both"/>
        <w:ind w:left="760"/>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In the event that the outstanding Shares of the Corporation shall be increased or decreased, or changed into, or exchanged for a different number or kind of shares or other securities of the Corporation, whether through a stock dividend, stock split, consolidation, recapitalization, amalgamation, reorganization, arrangement or other transaction, the Governance Committee or the Board may make appropriate adjustments to the number or kind of shares or securities of the Corporation upon which Deferred Stock Units are based under this Plan, and as regards Deferred Stock Units previously granted or to be granted pursuant to this Plan, in the number or kind of shares or securities of the Corporation upon which Deferred Stock Units are based.</w:t>
      </w:r>
    </w:p>
    <w:p>
      <w:pPr>
        <w:spacing w:after="0" w:line="183" w:lineRule="exact"/>
        <w:rPr>
          <w:rFonts w:ascii="Arial" w:cs="Arial" w:eastAsia="Arial" w:hAnsi="Arial"/>
          <w:sz w:val="20"/>
          <w:szCs w:val="20"/>
          <w:b w:val="1"/>
          <w:bCs w:val="1"/>
          <w:color w:val="auto"/>
        </w:rPr>
      </w:pPr>
    </w:p>
    <w:p>
      <w:pPr>
        <w:ind w:left="760" w:hanging="752"/>
        <w:spacing w:after="0"/>
        <w:tabs>
          <w:tab w:leader="none" w:pos="76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AMENDMENTS, ETC.</w:t>
      </w:r>
    </w:p>
    <w:p>
      <w:pPr>
        <w:spacing w:after="0" w:line="217" w:lineRule="exact"/>
        <w:rPr>
          <w:rFonts w:ascii="Arial" w:cs="Arial" w:eastAsia="Arial" w:hAnsi="Arial"/>
          <w:sz w:val="20"/>
          <w:szCs w:val="20"/>
          <w:b w:val="1"/>
          <w:bCs w:val="1"/>
          <w:color w:val="auto"/>
        </w:rPr>
      </w:pPr>
    </w:p>
    <w:p>
      <w:pPr>
        <w:jc w:val="both"/>
        <w:ind w:left="760"/>
        <w:spacing w:after="0" w:line="255" w:lineRule="auto"/>
        <w:rPr>
          <w:rFonts w:ascii="Arial" w:cs="Arial" w:eastAsia="Arial" w:hAnsi="Arial"/>
          <w:sz w:val="20"/>
          <w:szCs w:val="20"/>
          <w:b w:val="1"/>
          <w:bCs w:val="1"/>
          <w:color w:val="auto"/>
        </w:rPr>
      </w:pPr>
      <w:r>
        <w:rPr>
          <w:rFonts w:ascii="Arial" w:cs="Arial" w:eastAsia="Arial" w:hAnsi="Arial"/>
          <w:sz w:val="20"/>
          <w:szCs w:val="20"/>
          <w:color w:val="auto"/>
        </w:rPr>
        <w:t>Subject to applicable regulatory approval, the Board may revise, suspend or discontinue this Plan in whole or in part. No such revision, suspension, or discontinuance shall alter or impair the rights of a Director in respect of Deferred Stock Units or Shares previously granted or received under this Plan, without the consent of that Director.</w:t>
      </w:r>
    </w:p>
    <w:p>
      <w:pPr>
        <w:spacing w:after="0" w:line="171" w:lineRule="exact"/>
        <w:rPr>
          <w:rFonts w:ascii="Arial" w:cs="Arial" w:eastAsia="Arial" w:hAnsi="Arial"/>
          <w:sz w:val="20"/>
          <w:szCs w:val="20"/>
          <w:b w:val="1"/>
          <w:bCs w:val="1"/>
          <w:color w:val="auto"/>
        </w:rPr>
      </w:pPr>
    </w:p>
    <w:p>
      <w:pPr>
        <w:jc w:val="both"/>
        <w:ind w:left="760"/>
        <w:spacing w:after="0" w:line="245" w:lineRule="auto"/>
        <w:rPr>
          <w:rFonts w:ascii="Arial" w:cs="Arial" w:eastAsia="Arial" w:hAnsi="Arial"/>
          <w:sz w:val="20"/>
          <w:szCs w:val="20"/>
          <w:b w:val="1"/>
          <w:bCs w:val="1"/>
          <w:color w:val="auto"/>
        </w:rPr>
      </w:pPr>
      <w:r>
        <w:rPr>
          <w:rFonts w:ascii="Arial" w:cs="Arial" w:eastAsia="Arial" w:hAnsi="Arial"/>
          <w:sz w:val="20"/>
          <w:szCs w:val="20"/>
          <w:color w:val="auto"/>
        </w:rPr>
        <w:t xml:space="preserve">Notwithstanding the above, the Plan may be amended at any time, including retroactively, if, in the opinion of the Board, required to conform the Plan to the provisions of Section 409A of the Code and paragraph 6801(d) of the </w:t>
      </w:r>
      <w:r>
        <w:rPr>
          <w:rFonts w:ascii="Arial" w:cs="Arial" w:eastAsia="Arial" w:hAnsi="Arial"/>
          <w:sz w:val="20"/>
          <w:szCs w:val="20"/>
          <w:i w:val="1"/>
          <w:iCs w:val="1"/>
          <w:color w:val="auto"/>
        </w:rPr>
        <w:t>Income Tax</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Regulations </w:t>
      </w:r>
      <w:r>
        <w:rPr>
          <w:rFonts w:ascii="Arial" w:cs="Arial" w:eastAsia="Arial" w:hAnsi="Arial"/>
          <w:sz w:val="20"/>
          <w:szCs w:val="20"/>
          <w:color w:val="auto"/>
        </w:rPr>
        <w:t>(Canada) and/or to the provisions and requirements of any applicable law. No such amendment shall be</w:t>
      </w:r>
      <w:r>
        <w:rPr>
          <w:rFonts w:ascii="Arial" w:cs="Arial" w:eastAsia="Arial" w:hAnsi="Arial"/>
          <w:sz w:val="20"/>
          <w:szCs w:val="20"/>
          <w:i w:val="1"/>
          <w:iCs w:val="1"/>
          <w:color w:val="auto"/>
        </w:rPr>
        <w:t xml:space="preserve"> </w:t>
      </w:r>
      <w:r>
        <w:rPr>
          <w:rFonts w:ascii="Arial" w:cs="Arial" w:eastAsia="Arial" w:hAnsi="Arial"/>
          <w:sz w:val="20"/>
          <w:szCs w:val="20"/>
          <w:color w:val="auto"/>
        </w:rPr>
        <w:t>considered prejudicial to any interest of a Director or a Beneficiary in the Plan.</w:t>
      </w:r>
    </w:p>
    <w:p>
      <w:pPr>
        <w:spacing w:after="0" w:line="179" w:lineRule="exact"/>
        <w:rPr>
          <w:rFonts w:ascii="Arial" w:cs="Arial" w:eastAsia="Arial" w:hAnsi="Arial"/>
          <w:sz w:val="20"/>
          <w:szCs w:val="20"/>
          <w:b w:val="1"/>
          <w:bCs w:val="1"/>
          <w:color w:val="auto"/>
        </w:rPr>
      </w:pPr>
    </w:p>
    <w:p>
      <w:pPr>
        <w:ind w:left="760" w:hanging="752"/>
        <w:spacing w:after="0"/>
        <w:tabs>
          <w:tab w:leader="none" w:pos="76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PERIODIC REVIEW</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2" w:name="page63"/>
    <w:bookmarkEnd w:id="62"/>
    <w:p>
      <w:pPr>
        <w:ind w:left="760"/>
        <w:spacing w:after="0"/>
        <w:rPr>
          <w:sz w:val="20"/>
          <w:szCs w:val="20"/>
          <w:color w:val="auto"/>
        </w:rPr>
      </w:pPr>
      <w:r>
        <w:rPr>
          <w:rFonts w:ascii="Arial" w:cs="Arial" w:eastAsia="Arial" w:hAnsi="Arial"/>
          <w:sz w:val="20"/>
          <w:szCs w:val="20"/>
          <w:color w:val="auto"/>
        </w:rPr>
        <w:t>The compensation available, and competitiveness of this Plan relative to the Comparator Group, will be reviewed:</w:t>
      </w:r>
    </w:p>
    <w:p>
      <w:pPr>
        <w:spacing w:after="0" w:line="216" w:lineRule="exact"/>
        <w:rPr>
          <w:sz w:val="20"/>
          <w:szCs w:val="20"/>
          <w:color w:val="auto"/>
        </w:rPr>
      </w:pPr>
    </w:p>
    <w:p>
      <w:pPr>
        <w:ind w:left="1500" w:hanging="743"/>
        <w:spacing w:after="0"/>
        <w:tabs>
          <w:tab w:leader="none" w:pos="1500" w:val="left"/>
        </w:tabs>
        <w:numPr>
          <w:ilvl w:val="1"/>
          <w:numId w:val="49"/>
        </w:numPr>
        <w:rPr>
          <w:rFonts w:ascii="Arial" w:cs="Arial" w:eastAsia="Arial" w:hAnsi="Arial"/>
          <w:sz w:val="20"/>
          <w:szCs w:val="20"/>
          <w:color w:val="auto"/>
        </w:rPr>
      </w:pPr>
      <w:r>
        <w:rPr>
          <w:rFonts w:ascii="Arial" w:cs="Arial" w:eastAsia="Arial" w:hAnsi="Arial"/>
          <w:sz w:val="20"/>
          <w:szCs w:val="20"/>
          <w:color w:val="auto"/>
        </w:rPr>
        <w:t>by external consultants every second year, commencing in 2015; and</w:t>
      </w:r>
    </w:p>
    <w:p>
      <w:pPr>
        <w:spacing w:after="0" w:line="215" w:lineRule="exact"/>
        <w:rPr>
          <w:rFonts w:ascii="Arial" w:cs="Arial" w:eastAsia="Arial" w:hAnsi="Arial"/>
          <w:sz w:val="20"/>
          <w:szCs w:val="20"/>
          <w:color w:val="auto"/>
        </w:rPr>
      </w:pPr>
    </w:p>
    <w:p>
      <w:pPr>
        <w:ind w:left="1500" w:hanging="743"/>
        <w:spacing w:after="0"/>
        <w:tabs>
          <w:tab w:leader="none" w:pos="1500" w:val="left"/>
        </w:tabs>
        <w:numPr>
          <w:ilvl w:val="1"/>
          <w:numId w:val="49"/>
        </w:numPr>
        <w:rPr>
          <w:rFonts w:ascii="Arial" w:cs="Arial" w:eastAsia="Arial" w:hAnsi="Arial"/>
          <w:sz w:val="20"/>
          <w:szCs w:val="20"/>
          <w:color w:val="auto"/>
        </w:rPr>
      </w:pPr>
      <w:r>
        <w:rPr>
          <w:rFonts w:ascii="Arial" w:cs="Arial" w:eastAsia="Arial" w:hAnsi="Arial"/>
          <w:sz w:val="20"/>
          <w:szCs w:val="20"/>
          <w:color w:val="auto"/>
        </w:rPr>
        <w:t>by internal management every second year, commencing in 2014.</w:t>
      </w:r>
    </w:p>
    <w:p>
      <w:pPr>
        <w:spacing w:after="0" w:line="213" w:lineRule="exact"/>
        <w:rPr>
          <w:rFonts w:ascii="Arial" w:cs="Arial" w:eastAsia="Arial" w:hAnsi="Arial"/>
          <w:sz w:val="20"/>
          <w:szCs w:val="20"/>
          <w:color w:val="auto"/>
        </w:rPr>
      </w:pPr>
    </w:p>
    <w:p>
      <w:pPr>
        <w:ind w:left="760" w:hanging="752"/>
        <w:spacing w:after="0"/>
        <w:tabs>
          <w:tab w:leader="none" w:pos="76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EFFECTIVE DATE</w:t>
      </w: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This Plan is effective as of January 1, 2023, and may be amended from time to time. Commencing January 1, 2023, no new Shares or Deferred Stock Units shall be granted or received under any previous “Directors’ Compensation Plan” for Enbridge Inc. Any Shares or Deferred Stock Units previously granted or received under such previous compensation plans shall continue without alteration, including any previous elected payment date made by a Director, or impairment of the rights of a Director with respect to such Compensation.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20"/>
          <w:szCs w:val="20"/>
          <w:b w:val="1"/>
          <w:bCs w:val="1"/>
          <w:color w:val="auto"/>
        </w:rPr>
        <w:t>APPENDIX “A”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the Directors’ Compensation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Retainer and Fees</w:t>
      </w:r>
    </w:p>
    <w:p>
      <w:pPr>
        <w:spacing w:after="0" w:line="108" w:lineRule="exact"/>
        <w:rPr>
          <w:sz w:val="20"/>
          <w:szCs w:val="20"/>
          <w:color w:val="auto"/>
        </w:rPr>
      </w:pPr>
    </w:p>
    <w:p>
      <w:pPr>
        <w:ind w:left="760" w:hanging="752"/>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20"/>
          <w:szCs w:val="20"/>
          <w:b w:val="1"/>
          <w:bCs w:val="1"/>
          <w:color w:val="auto"/>
        </w:rPr>
        <w:t>Flat Fee Schedule</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establishes the annual fee schedule for Directors and is effective as of January 1, 2025.</w:t>
      </w:r>
    </w:p>
    <w:p>
      <w:pPr>
        <w:spacing w:after="0" w:line="78" w:lineRule="exact"/>
        <w:rPr>
          <w:sz w:val="20"/>
          <w:szCs w:val="20"/>
          <w:color w:val="auto"/>
        </w:rPr>
      </w:pPr>
    </w:p>
    <w:tbl>
      <w:tblPr>
        <w:tblLayout w:type="fixed"/>
        <w:tblInd w:w="10" w:type="dxa"/>
        <w:tblCellMar>
          <w:top w:w="0" w:type="dxa"/>
          <w:left w:w="0" w:type="dxa"/>
          <w:bottom w:w="0" w:type="dxa"/>
          <w:right w:w="0" w:type="dxa"/>
        </w:tblCellMar>
      </w:tblPr>
      <w:tr>
        <w:trPr>
          <w:trHeight w:val="48"/>
        </w:trPr>
        <w:tc>
          <w:tcPr>
            <w:tcW w:w="2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560" w:type="dxa"/>
            <w:vAlign w:val="bottom"/>
            <w:gridSpan w:val="2"/>
            <w:vMerge w:val="restart"/>
          </w:tcPr>
          <w:p>
            <w:pPr>
              <w:ind w:left="180"/>
              <w:spacing w:after="0"/>
              <w:rPr>
                <w:sz w:val="20"/>
                <w:szCs w:val="20"/>
                <w:color w:val="auto"/>
              </w:rPr>
            </w:pPr>
            <w:r>
              <w:rPr>
                <w:rFonts w:ascii="Arial" w:cs="Arial" w:eastAsia="Arial" w:hAnsi="Arial"/>
                <w:sz w:val="20"/>
                <w:szCs w:val="20"/>
                <w:b w:val="1"/>
                <w:bCs w:val="1"/>
                <w:color w:val="auto"/>
              </w:rPr>
              <w:t>Elective Payment Form</w:t>
            </w:r>
            <w:r>
              <w:rPr>
                <w:rFonts w:ascii="Arial" w:cs="Arial" w:eastAsia="Arial" w:hAnsi="Arial"/>
                <w:sz w:val="26"/>
                <w:szCs w:val="26"/>
                <w:b w:val="1"/>
                <w:bCs w:val="1"/>
                <w:color w:val="auto"/>
                <w:vertAlign w:val="superscript"/>
              </w:rPr>
              <w:t>1</w:t>
            </w:r>
          </w:p>
        </w:tc>
        <w:tc>
          <w:tcPr>
            <w:tcW w:w="12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2160" w:type="dxa"/>
            <w:vAlign w:val="bottom"/>
            <w:tcBorders>
              <w:left w:val="single" w:sz="8" w:color="auto"/>
            </w:tcBorders>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6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160" w:type="dxa"/>
            <w:vAlign w:val="bottom"/>
            <w:tcBorders>
              <w:left w:val="single" w:sz="8" w:color="auto"/>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160" w:type="dxa"/>
            <w:vAlign w:val="bottom"/>
            <w:tcBorders>
              <w:left w:val="single" w:sz="8" w:color="auto"/>
              <w:right w:val="single" w:sz="8" w:color="auto"/>
            </w:tcBorders>
            <w:vMerge w:val="restart"/>
          </w:tcPr>
          <w:p>
            <w:pPr>
              <w:ind w:left="360"/>
              <w:spacing w:after="0"/>
              <w:rPr>
                <w:sz w:val="20"/>
                <w:szCs w:val="20"/>
                <w:color w:val="auto"/>
              </w:rPr>
            </w:pPr>
            <w:r>
              <w:rPr>
                <w:rFonts w:ascii="Arial" w:cs="Arial" w:eastAsia="Arial" w:hAnsi="Arial"/>
                <w:sz w:val="20"/>
                <w:szCs w:val="20"/>
                <w:b w:val="1"/>
                <w:bCs w:val="1"/>
                <w:color w:val="auto"/>
              </w:rPr>
              <w:t>Compensation</w:t>
            </w:r>
          </w:p>
        </w:tc>
        <w:tc>
          <w:tcPr>
            <w:tcW w:w="1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20"/>
                <w:szCs w:val="20"/>
                <w:b w:val="1"/>
                <w:bCs w:val="1"/>
                <w:color w:val="auto"/>
              </w:rPr>
              <w:t>Annual Fee</w:t>
            </w:r>
            <w:r>
              <w:rPr>
                <w:rFonts w:ascii="Arial" w:cs="Arial" w:eastAsia="Arial" w:hAnsi="Arial"/>
                <w:sz w:val="26"/>
                <w:szCs w:val="26"/>
                <w:b w:val="1"/>
                <w:bCs w:val="1"/>
                <w:color w:val="auto"/>
                <w:vertAlign w:val="superscript"/>
              </w:rPr>
              <w:t>2</w:t>
            </w:r>
          </w:p>
        </w:tc>
        <w:tc>
          <w:tcPr>
            <w:tcW w:w="3720" w:type="dxa"/>
            <w:vAlign w:val="bottom"/>
            <w:tcBorders>
              <w:right w:val="single" w:sz="8" w:color="auto"/>
            </w:tcBorders>
            <w:gridSpan w:val="3"/>
          </w:tcPr>
          <w:p>
            <w:pPr>
              <w:ind w:left="240"/>
              <w:spacing w:after="0"/>
              <w:rPr>
                <w:sz w:val="20"/>
                <w:szCs w:val="20"/>
                <w:color w:val="auto"/>
              </w:rPr>
            </w:pPr>
            <w:r>
              <w:rPr>
                <w:rFonts w:ascii="Arial" w:cs="Arial" w:eastAsia="Arial" w:hAnsi="Arial"/>
                <w:sz w:val="20"/>
                <w:szCs w:val="20"/>
                <w:b w:val="1"/>
                <w:bCs w:val="1"/>
                <w:color w:val="auto"/>
              </w:rPr>
              <w:t>Before minimum share ownership</w:t>
            </w:r>
          </w:p>
        </w:tc>
        <w:tc>
          <w:tcPr>
            <w:tcW w:w="384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98"/>
              </w:rPr>
              <w:t>After minimum share ownership</w:t>
            </w:r>
          </w:p>
        </w:tc>
        <w:tc>
          <w:tcPr>
            <w:tcW w:w="0" w:type="dxa"/>
            <w:vAlign w:val="bottom"/>
          </w:tcPr>
          <w:p>
            <w:pPr>
              <w:spacing w:after="0"/>
              <w:rPr>
                <w:sz w:val="1"/>
                <w:szCs w:val="1"/>
                <w:color w:val="auto"/>
              </w:rPr>
            </w:pPr>
          </w:p>
        </w:tc>
      </w:tr>
      <w:tr>
        <w:trPr>
          <w:trHeight w:val="145"/>
        </w:trPr>
        <w:tc>
          <w:tcPr>
            <w:tcW w:w="2160" w:type="dxa"/>
            <w:vAlign w:val="bottom"/>
            <w:tcBorders>
              <w:left w:val="single" w:sz="8" w:color="auto"/>
              <w:right w:val="single" w:sz="8" w:color="auto"/>
            </w:tcBorders>
            <w:vMerge w:val="continue"/>
          </w:tcPr>
          <w:p>
            <w:pPr>
              <w:spacing w:after="0"/>
              <w:rPr>
                <w:sz w:val="12"/>
                <w:szCs w:val="12"/>
                <w:color w:val="auto"/>
              </w:rPr>
            </w:pPr>
          </w:p>
        </w:tc>
        <w:tc>
          <w:tcPr>
            <w:tcW w:w="1520" w:type="dxa"/>
            <w:vAlign w:val="bottom"/>
            <w:tcBorders>
              <w:right w:val="single" w:sz="8" w:color="auto"/>
            </w:tcBorders>
            <w:vMerge w:val="continue"/>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2160" w:type="dxa"/>
            <w:vAlign w:val="bottom"/>
            <w:tcBorders>
              <w:left w:val="single" w:sz="8" w:color="auto"/>
              <w:right w:val="single" w:sz="8" w:color="auto"/>
            </w:tcBorders>
            <w:vMerge w:val="continue"/>
          </w:tcPr>
          <w:p>
            <w:pPr>
              <w:spacing w:after="0"/>
              <w:rPr>
                <w:sz w:val="24"/>
                <w:szCs w:val="24"/>
                <w:color w:val="auto"/>
              </w:rPr>
            </w:pPr>
          </w:p>
        </w:tc>
        <w:tc>
          <w:tcPr>
            <w:tcW w:w="1520" w:type="dxa"/>
            <w:vAlign w:val="bottom"/>
            <w:tcBorders>
              <w:right w:val="single" w:sz="8" w:color="auto"/>
            </w:tcBorders>
            <w:vMerge w:val="continue"/>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b w:val="1"/>
                <w:bCs w:val="1"/>
                <w:color w:val="auto"/>
              </w:rPr>
              <w:t>Cash</w:t>
            </w:r>
            <w:r>
              <w:rPr>
                <w:rFonts w:ascii="Arial" w:cs="Arial" w:eastAsia="Arial" w:hAnsi="Arial"/>
                <w:sz w:val="26"/>
                <w:szCs w:val="26"/>
                <w:b w:val="1"/>
                <w:bCs w:val="1"/>
                <w:color w:val="auto"/>
                <w:vertAlign w:val="superscript"/>
              </w:rPr>
              <w:t>3</w:t>
            </w:r>
          </w:p>
        </w:tc>
        <w:tc>
          <w:tcPr>
            <w:tcW w:w="1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b w:val="1"/>
                <w:bCs w:val="1"/>
                <w:color w:val="auto"/>
              </w:rPr>
              <w:t>Shares</w:t>
            </w:r>
            <w:r>
              <w:rPr>
                <w:rFonts w:ascii="Arial" w:cs="Arial" w:eastAsia="Arial" w:hAnsi="Arial"/>
                <w:sz w:val="26"/>
                <w:szCs w:val="26"/>
                <w:b w:val="1"/>
                <w:bCs w:val="1"/>
                <w:color w:val="auto"/>
                <w:vertAlign w:val="superscript"/>
              </w:rPr>
              <w:t>3</w:t>
            </w:r>
          </w:p>
        </w:tc>
        <w:tc>
          <w:tcPr>
            <w:tcW w:w="1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b w:val="1"/>
                <w:bCs w:val="1"/>
                <w:color w:val="auto"/>
              </w:rPr>
              <w:t>DSUs</w:t>
            </w:r>
            <w:r>
              <w:rPr>
                <w:rFonts w:ascii="Arial" w:cs="Arial" w:eastAsia="Arial" w:hAnsi="Arial"/>
                <w:sz w:val="26"/>
                <w:szCs w:val="26"/>
                <w:b w:val="1"/>
                <w:bCs w:val="1"/>
                <w:color w:val="auto"/>
                <w:vertAlign w:val="superscript"/>
              </w:rPr>
              <w:t>3</w:t>
            </w:r>
          </w:p>
        </w:tc>
        <w:tc>
          <w:tcPr>
            <w:tcW w:w="0" w:type="dxa"/>
            <w:vAlign w:val="bottom"/>
          </w:tcPr>
          <w:p>
            <w:pPr>
              <w:spacing w:after="0"/>
              <w:rPr>
                <w:sz w:val="1"/>
                <w:szCs w:val="1"/>
                <w:color w:val="auto"/>
              </w:rPr>
            </w:pPr>
          </w:p>
        </w:tc>
      </w:tr>
      <w:tr>
        <w:trPr>
          <w:trHeight w:val="360"/>
        </w:trPr>
        <w:tc>
          <w:tcPr>
            <w:tcW w:w="216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20"/>
                <w:szCs w:val="20"/>
                <w:b w:val="1"/>
                <w:bCs w:val="1"/>
                <w:color w:val="auto"/>
              </w:rPr>
              <w:t>Elements</w:t>
            </w:r>
          </w:p>
        </w:tc>
        <w:tc>
          <w:tcPr>
            <w:tcW w:w="15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20"/>
                <w:szCs w:val="20"/>
                <w:b w:val="1"/>
                <w:bCs w:val="1"/>
                <w:color w:val="auto"/>
              </w:rPr>
              <w:t>Cash</w:t>
            </w: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Shares</w:t>
            </w:r>
          </w:p>
        </w:tc>
        <w:tc>
          <w:tcPr>
            <w:tcW w:w="128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DSUs</w:t>
            </w:r>
          </w:p>
        </w:tc>
        <w:tc>
          <w:tcPr>
            <w:tcW w:w="1280" w:type="dxa"/>
            <w:vAlign w:val="bottom"/>
            <w:tcBorders>
              <w:right w:val="single" w:sz="8" w:color="auto"/>
            </w:tcBorders>
            <w:vMerge w:val="continue"/>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128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160" w:type="dxa"/>
            <w:vAlign w:val="bottom"/>
            <w:tcBorders>
              <w:left w:val="single" w:sz="8" w:color="auto"/>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Board Retainer</w:t>
            </w:r>
          </w:p>
        </w:tc>
        <w:tc>
          <w:tcPr>
            <w:tcW w:w="15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$315,000</w:t>
            </w:r>
          </w:p>
        </w:tc>
        <w:tc>
          <w:tcPr>
            <w:tcW w:w="116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2160" w:type="dxa"/>
            <w:vAlign w:val="bottom"/>
            <w:tcBorders>
              <w:left w:val="single" w:sz="8" w:color="auto"/>
              <w:bottom w:val="single" w:sz="8" w:color="auto"/>
              <w:right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16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20"/>
                <w:szCs w:val="20"/>
                <w:color w:val="auto"/>
              </w:rPr>
              <w:t>Additional Board</w:t>
            </w:r>
          </w:p>
        </w:tc>
        <w:tc>
          <w:tcPr>
            <w:tcW w:w="152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20"/>
                <w:szCs w:val="20"/>
                <w:color w:val="auto"/>
              </w:rPr>
              <w:t>$265,000</w:t>
            </w:r>
          </w:p>
        </w:tc>
        <w:tc>
          <w:tcPr>
            <w:tcW w:w="116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Chair Retainer</w:t>
            </w:r>
          </w:p>
        </w:tc>
        <w:tc>
          <w:tcPr>
            <w:tcW w:w="1520" w:type="dxa"/>
            <w:vAlign w:val="bottom"/>
            <w:tcBorders>
              <w:right w:val="single" w:sz="8" w:color="auto"/>
            </w:tcBorders>
          </w:tcPr>
          <w:p>
            <w:pPr>
              <w:spacing w:after="0"/>
              <w:rPr>
                <w:sz w:val="22"/>
                <w:szCs w:val="22"/>
                <w:color w:val="auto"/>
              </w:rPr>
            </w:pPr>
          </w:p>
        </w:tc>
        <w:tc>
          <w:tcPr>
            <w:tcW w:w="116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Up to 50%</w:t>
            </w:r>
          </w:p>
        </w:tc>
        <w:tc>
          <w:tcPr>
            <w:tcW w:w="1280" w:type="dxa"/>
            <w:vAlign w:val="bottom"/>
            <w:tcBorders>
              <w:right w:val="single" w:sz="8" w:color="auto"/>
            </w:tcBorders>
            <w:vMerge w:val="restart"/>
          </w:tcPr>
          <w:p>
            <w:pPr>
              <w:ind w:left="160"/>
              <w:spacing w:after="0"/>
              <w:rPr>
                <w:sz w:val="20"/>
                <w:szCs w:val="20"/>
                <w:color w:val="auto"/>
              </w:rPr>
            </w:pPr>
            <w:r>
              <w:rPr>
                <w:rFonts w:ascii="Arial" w:cs="Arial" w:eastAsia="Arial" w:hAnsi="Arial"/>
                <w:sz w:val="20"/>
                <w:szCs w:val="20"/>
                <w:color w:val="auto"/>
              </w:rPr>
              <w:t>Up to 50%</w:t>
            </w:r>
          </w:p>
        </w:tc>
        <w:tc>
          <w:tcPr>
            <w:tcW w:w="1280" w:type="dxa"/>
            <w:vAlign w:val="bottom"/>
            <w:tcBorders>
              <w:right w:val="single" w:sz="8" w:color="auto"/>
            </w:tcBorders>
            <w:vMerge w:val="restart"/>
          </w:tcPr>
          <w:p>
            <w:pPr>
              <w:jc w:val="center"/>
              <w:ind w:right="1"/>
              <w:spacing w:after="0"/>
              <w:rPr>
                <w:sz w:val="20"/>
                <w:szCs w:val="20"/>
                <w:color w:val="auto"/>
              </w:rPr>
            </w:pPr>
            <w:r>
              <w:rPr>
                <w:rFonts w:ascii="Arial" w:cs="Arial" w:eastAsia="Arial" w:hAnsi="Arial"/>
                <w:sz w:val="20"/>
                <w:szCs w:val="20"/>
                <w:color w:val="auto"/>
                <w:w w:val="99"/>
              </w:rPr>
              <w:t>50% to</w:t>
            </w:r>
          </w:p>
        </w:tc>
        <w:tc>
          <w:tcPr>
            <w:tcW w:w="1280" w:type="dxa"/>
            <w:vAlign w:val="bottom"/>
            <w:tcBorders>
              <w:right w:val="single" w:sz="8" w:color="auto"/>
            </w:tcBorders>
            <w:vMerge w:val="restart"/>
          </w:tcPr>
          <w:p>
            <w:pPr>
              <w:ind w:left="160"/>
              <w:spacing w:after="0"/>
              <w:rPr>
                <w:sz w:val="20"/>
                <w:szCs w:val="20"/>
                <w:color w:val="auto"/>
              </w:rPr>
            </w:pPr>
            <w:r>
              <w:rPr>
                <w:rFonts w:ascii="Arial" w:cs="Arial" w:eastAsia="Arial" w:hAnsi="Arial"/>
                <w:sz w:val="20"/>
                <w:szCs w:val="20"/>
                <w:color w:val="auto"/>
              </w:rPr>
              <w:t>Up to 65%</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Up to 65%</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35% to</w:t>
            </w:r>
          </w:p>
        </w:tc>
        <w:tc>
          <w:tcPr>
            <w:tcW w:w="0" w:type="dxa"/>
            <w:vAlign w:val="bottom"/>
          </w:tcPr>
          <w:p>
            <w:pPr>
              <w:spacing w:after="0"/>
              <w:rPr>
                <w:sz w:val="1"/>
                <w:szCs w:val="1"/>
                <w:color w:val="auto"/>
              </w:rPr>
            </w:pPr>
          </w:p>
        </w:tc>
      </w:tr>
      <w:tr>
        <w:trPr>
          <w:trHeight w:val="144"/>
        </w:trPr>
        <w:tc>
          <w:tcPr>
            <w:tcW w:w="2160" w:type="dxa"/>
            <w:vAlign w:val="bottom"/>
            <w:tcBorders>
              <w:left w:val="single" w:sz="8" w:color="auto"/>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216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280" w:type="dxa"/>
            <w:vAlign w:val="bottom"/>
            <w:tcBorders>
              <w:right w:val="single" w:sz="8" w:color="auto"/>
            </w:tcBorders>
          </w:tcPr>
          <w:p>
            <w:pPr>
              <w:spacing w:after="0"/>
              <w:rPr>
                <w:sz w:val="4"/>
                <w:szCs w:val="4"/>
                <w:color w:val="auto"/>
              </w:rPr>
            </w:pPr>
          </w:p>
        </w:tc>
        <w:tc>
          <w:tcPr>
            <w:tcW w:w="1280" w:type="dxa"/>
            <w:vAlign w:val="bottom"/>
            <w:tcBorders>
              <w:right w:val="single" w:sz="8" w:color="auto"/>
            </w:tcBorders>
            <w:vMerge w:val="restart"/>
          </w:tcPr>
          <w:p>
            <w:pPr>
              <w:jc w:val="right"/>
              <w:ind w:right="301"/>
              <w:spacing w:after="0"/>
              <w:rPr>
                <w:sz w:val="20"/>
                <w:szCs w:val="20"/>
                <w:color w:val="auto"/>
              </w:rPr>
            </w:pPr>
            <w:r>
              <w:rPr>
                <w:rFonts w:ascii="Arial" w:cs="Arial" w:eastAsia="Arial" w:hAnsi="Arial"/>
                <w:sz w:val="20"/>
                <w:szCs w:val="20"/>
                <w:color w:val="auto"/>
              </w:rPr>
              <w:t>100%</w:t>
            </w:r>
          </w:p>
        </w:tc>
        <w:tc>
          <w:tcPr>
            <w:tcW w:w="1280" w:type="dxa"/>
            <w:vAlign w:val="bottom"/>
            <w:tcBorders>
              <w:right w:val="single" w:sz="8" w:color="auto"/>
            </w:tcBorders>
          </w:tcPr>
          <w:p>
            <w:pPr>
              <w:spacing w:after="0"/>
              <w:rPr>
                <w:sz w:val="4"/>
                <w:szCs w:val="4"/>
                <w:color w:val="auto"/>
              </w:rPr>
            </w:pPr>
          </w:p>
        </w:tc>
        <w:tc>
          <w:tcPr>
            <w:tcW w:w="1280" w:type="dxa"/>
            <w:vAlign w:val="bottom"/>
            <w:tcBorders>
              <w:right w:val="single" w:sz="8" w:color="auto"/>
            </w:tcBorders>
          </w:tcPr>
          <w:p>
            <w:pPr>
              <w:spacing w:after="0"/>
              <w:rPr>
                <w:sz w:val="4"/>
                <w:szCs w:val="4"/>
                <w:color w:val="auto"/>
              </w:rPr>
            </w:pPr>
          </w:p>
        </w:tc>
        <w:tc>
          <w:tcPr>
            <w:tcW w:w="1280" w:type="dxa"/>
            <w:vAlign w:val="bottom"/>
            <w:tcBorders>
              <w:right w:val="single" w:sz="8" w:color="auto"/>
            </w:tcBorders>
            <w:vMerge w:val="restart"/>
          </w:tcPr>
          <w:p>
            <w:pPr>
              <w:jc w:val="right"/>
              <w:ind w:right="301"/>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174"/>
        </w:trPr>
        <w:tc>
          <w:tcPr>
            <w:tcW w:w="216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20"/>
                <w:szCs w:val="20"/>
                <w:color w:val="auto"/>
              </w:rPr>
              <w:t>Additional Committee</w:t>
            </w:r>
          </w:p>
        </w:tc>
        <w:tc>
          <w:tcPr>
            <w:tcW w:w="15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vMerge w:val="continue"/>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Chair Retainer:</w:t>
            </w:r>
          </w:p>
        </w:tc>
        <w:tc>
          <w:tcPr>
            <w:tcW w:w="1520" w:type="dxa"/>
            <w:vAlign w:val="bottom"/>
            <w:tcBorders>
              <w:right w:val="single" w:sz="8" w:color="auto"/>
            </w:tcBorders>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AFRC</w:t>
            </w: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$25,000</w:t>
            </w:r>
          </w:p>
        </w:tc>
        <w:tc>
          <w:tcPr>
            <w:tcW w:w="116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color w:val="auto"/>
              </w:rPr>
              <w:t>HRCC</w:t>
            </w:r>
          </w:p>
        </w:tc>
        <w:tc>
          <w:tcPr>
            <w:tcW w:w="1520" w:type="dxa"/>
            <w:vAlign w:val="bottom"/>
            <w:tcBorders>
              <w:right w:val="single" w:sz="8" w:color="auto"/>
            </w:tcBorders>
            <w:vMerge w:val="continue"/>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160" w:type="dxa"/>
            <w:vAlign w:val="bottom"/>
            <w:tcBorders>
              <w:left w:val="single" w:sz="8" w:color="auto"/>
              <w:right w:val="single" w:sz="8" w:color="auto"/>
            </w:tcBorders>
            <w:vMerge w:val="continue"/>
          </w:tcPr>
          <w:p>
            <w:pPr>
              <w:spacing w:after="0"/>
              <w:rPr>
                <w:sz w:val="8"/>
                <w:szCs w:val="8"/>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$20,000</w:t>
            </w:r>
          </w:p>
        </w:tc>
        <w:tc>
          <w:tcPr>
            <w:tcW w:w="116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color w:val="auto"/>
              </w:rPr>
              <w:t>S&amp;R</w:t>
            </w:r>
          </w:p>
        </w:tc>
        <w:tc>
          <w:tcPr>
            <w:tcW w:w="1520" w:type="dxa"/>
            <w:vAlign w:val="bottom"/>
            <w:tcBorders>
              <w:right w:val="single" w:sz="8" w:color="auto"/>
            </w:tcBorders>
            <w:vMerge w:val="continue"/>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160" w:type="dxa"/>
            <w:vAlign w:val="bottom"/>
            <w:tcBorders>
              <w:left w:val="single" w:sz="8" w:color="auto"/>
              <w:right w:val="single" w:sz="8" w:color="auto"/>
            </w:tcBorders>
            <w:vMerge w:val="continue"/>
          </w:tcPr>
          <w:p>
            <w:pPr>
              <w:spacing w:after="0"/>
              <w:rPr>
                <w:sz w:val="9"/>
                <w:szCs w:val="9"/>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$20,000</w:t>
            </w:r>
          </w:p>
        </w:tc>
        <w:tc>
          <w:tcPr>
            <w:tcW w:w="116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color w:val="auto"/>
              </w:rPr>
              <w:t>GC</w:t>
            </w:r>
          </w:p>
        </w:tc>
        <w:tc>
          <w:tcPr>
            <w:tcW w:w="1520" w:type="dxa"/>
            <w:vAlign w:val="bottom"/>
            <w:tcBorders>
              <w:right w:val="single" w:sz="8" w:color="auto"/>
            </w:tcBorders>
            <w:vMerge w:val="continue"/>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160" w:type="dxa"/>
            <w:vAlign w:val="bottom"/>
            <w:tcBorders>
              <w:left w:val="single" w:sz="8" w:color="auto"/>
              <w:right w:val="single" w:sz="8" w:color="auto"/>
            </w:tcBorders>
            <w:vMerge w:val="continue"/>
          </w:tcPr>
          <w:p>
            <w:pPr>
              <w:spacing w:after="0"/>
              <w:rPr>
                <w:sz w:val="8"/>
                <w:szCs w:val="8"/>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$20,000</w:t>
            </w:r>
          </w:p>
        </w:tc>
        <w:tc>
          <w:tcPr>
            <w:tcW w:w="116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color w:val="auto"/>
              </w:rPr>
              <w:t>SC</w:t>
            </w:r>
          </w:p>
        </w:tc>
        <w:tc>
          <w:tcPr>
            <w:tcW w:w="1520" w:type="dxa"/>
            <w:vAlign w:val="bottom"/>
            <w:tcBorders>
              <w:right w:val="single" w:sz="8" w:color="auto"/>
            </w:tcBorders>
            <w:vMerge w:val="continue"/>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160" w:type="dxa"/>
            <w:vAlign w:val="bottom"/>
            <w:tcBorders>
              <w:left w:val="single" w:sz="8" w:color="auto"/>
              <w:right w:val="single" w:sz="8" w:color="auto"/>
            </w:tcBorders>
            <w:vMerge w:val="continue"/>
          </w:tcPr>
          <w:p>
            <w:pPr>
              <w:spacing w:after="0"/>
              <w:rPr>
                <w:sz w:val="8"/>
                <w:szCs w:val="8"/>
                <w:color w:val="auto"/>
              </w:rPr>
            </w:pPr>
          </w:p>
        </w:tc>
        <w:tc>
          <w:tcPr>
            <w:tcW w:w="1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$20,000</w:t>
            </w:r>
          </w:p>
        </w:tc>
        <w:tc>
          <w:tcPr>
            <w:tcW w:w="116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160" w:type="dxa"/>
            <w:vAlign w:val="bottom"/>
            <w:tcBorders>
              <w:left w:val="single" w:sz="8" w:color="auto"/>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-3342640</wp:posOffset>
            </wp:positionV>
            <wp:extent cx="48367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836795" cy="8255"/>
                    </a:xfrm>
                    <a:prstGeom prst="rect">
                      <a:avLst/>
                    </a:prstGeom>
                    <a:noFill/>
                  </pic:spPr>
                </pic:pic>
              </a:graphicData>
            </a:graphic>
          </wp:anchor>
        </w:drawing>
      </w:r>
    </w:p>
    <w:p>
      <w:pPr>
        <w:spacing w:after="0" w:line="160"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Directors may elect the form of payment in increments of 5% up to the percentage amounts specified in the table.</w:t>
      </w:r>
    </w:p>
    <w:p>
      <w:pPr>
        <w:spacing w:after="0" w:line="15" w:lineRule="exact"/>
        <w:rPr>
          <w:rFonts w:ascii="Arial" w:cs="Arial" w:eastAsia="Arial" w:hAnsi="Arial"/>
          <w:sz w:val="14"/>
          <w:szCs w:val="14"/>
          <w:color w:val="auto"/>
        </w:rPr>
      </w:pPr>
    </w:p>
    <w:p>
      <w:pPr>
        <w:ind w:left="760" w:hanging="752"/>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All fees in U.S. dollars.</w:t>
      </w:r>
    </w:p>
    <w:p>
      <w:pPr>
        <w:spacing w:after="0" w:line="148" w:lineRule="exact"/>
        <w:rPr>
          <w:sz w:val="20"/>
          <w:szCs w:val="20"/>
          <w:color w:val="auto"/>
        </w:rPr>
      </w:pPr>
    </w:p>
    <w:p>
      <w:pPr>
        <w:ind w:left="760" w:hanging="752"/>
        <w:spacing w:after="0"/>
        <w:tabs>
          <w:tab w:leader="none" w:pos="76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Penalty for Non-Attendance</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At the end of each year, the Governance Committee will review the record of attendance of Directors at Committee meetings and Board meetings. The Chair of the Governance Committee along with the Board Chair, at their discretion, will recommend to the Board appropriate penalties for non-attendance by Directors at Committee and Board meetings.</w:t>
      </w:r>
    </w:p>
    <w:p>
      <w:pPr>
        <w:spacing w:after="0" w:line="156" w:lineRule="exact"/>
        <w:rPr>
          <w:sz w:val="20"/>
          <w:szCs w:val="20"/>
          <w:color w:val="auto"/>
        </w:rPr>
      </w:pPr>
    </w:p>
    <w:p>
      <w:pPr>
        <w:ind w:left="760" w:hanging="752"/>
        <w:spacing w:after="0"/>
        <w:tabs>
          <w:tab w:leader="none" w:pos="76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Travel Fees</w:t>
      </w:r>
    </w:p>
    <w:p>
      <w:pPr>
        <w:spacing w:after="0" w:line="110"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A per diem allowance of $1,500 U.S. shall be paid in cash to Directors who travel from their home state or province to a meeting in another state or province.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4" w:name="page65"/>
    <w:bookmarkEnd w:id="64"/>
    <w:p>
      <w:pPr>
        <w:ind w:left="760" w:hanging="752"/>
        <w:spacing w:after="0"/>
        <w:tabs>
          <w:tab w:leader="none" w:pos="76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Share Ownership Requirement</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Effective January 1, 2016, Directors shall hold a personal investment in Shares and Deferred Stock Units of at least three (3) times the amount of the annual Board Retainer, expressed in Canadian currency and be required to achieve such investment within five (5) years of joining the Board.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5" w:name="page66"/>
    <w:bookmarkEnd w:id="65"/>
    <w:p>
      <w:pPr>
        <w:jc w:val="center"/>
        <w:ind w:right="-459"/>
        <w:spacing w:after="0"/>
        <w:rPr>
          <w:sz w:val="20"/>
          <w:szCs w:val="20"/>
          <w:color w:val="auto"/>
        </w:rPr>
      </w:pPr>
      <w:r>
        <w:rPr>
          <w:rFonts w:ascii="Arial" w:cs="Arial" w:eastAsia="Arial" w:hAnsi="Arial"/>
          <w:sz w:val="20"/>
          <w:szCs w:val="20"/>
          <w:b w:val="1"/>
          <w:bCs w:val="1"/>
          <w:color w:val="auto"/>
        </w:rPr>
        <w:t>APPENDIX “B”</w:t>
      </w:r>
    </w:p>
    <w:p>
      <w:pPr>
        <w:spacing w:after="0" w:line="216"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to the Directors’ Compensation Plan</w:t>
      </w:r>
    </w:p>
    <w:p>
      <w:pPr>
        <w:spacing w:after="0" w:line="216"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u w:val="single" w:color="auto"/>
          <w:color w:val="auto"/>
        </w:rPr>
        <w:t>DESIGNATION OF BENEFICIARY FORM</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 _____________________________________ </w:t>
      </w:r>
      <w:r>
        <w:rPr>
          <w:rFonts w:ascii="Arial" w:cs="Arial" w:eastAsia="Arial" w:hAnsi="Arial"/>
          <w:sz w:val="20"/>
          <w:szCs w:val="20"/>
          <w:i w:val="1"/>
          <w:iCs w:val="1"/>
          <w:color w:val="auto"/>
        </w:rPr>
        <w:t>(Director’s Name)</w:t>
      </w:r>
      <w:r>
        <w:rPr>
          <w:rFonts w:ascii="Arial" w:cs="Arial" w:eastAsia="Arial" w:hAnsi="Arial"/>
          <w:sz w:val="20"/>
          <w:szCs w:val="20"/>
          <w:color w:val="auto"/>
        </w:rPr>
        <w:t xml:space="preserve"> for the purposes of</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designating a Beneficiary pursuant to the Directors’ Compensation Plan of Enbridge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hereby designate:</w:t>
      </w:r>
    </w:p>
    <w:p>
      <w:pPr>
        <w:spacing w:after="0" w:line="324" w:lineRule="exact"/>
        <w:rPr>
          <w:sz w:val="20"/>
          <w:szCs w:val="20"/>
          <w:color w:val="auto"/>
        </w:rPr>
      </w:pPr>
    </w:p>
    <w:p>
      <w:pPr>
        <w:ind w:left="900" w:hanging="452"/>
        <w:spacing w:after="0"/>
        <w:tabs>
          <w:tab w:leader="none" w:pos="900" w:val="left"/>
        </w:tabs>
        <w:numPr>
          <w:ilvl w:val="0"/>
          <w:numId w:val="56"/>
        </w:numPr>
        <w:rPr>
          <w:rFonts w:ascii="MS PGothic" w:cs="MS PGothic" w:eastAsia="MS PGothic" w:hAnsi="MS PGothic"/>
          <w:sz w:val="20"/>
          <w:szCs w:val="20"/>
          <w:color w:val="auto"/>
        </w:rPr>
      </w:pPr>
      <w:r>
        <w:rPr>
          <w:rFonts w:ascii="Arial" w:cs="Arial" w:eastAsia="Arial" w:hAnsi="Arial"/>
          <w:sz w:val="20"/>
          <w:szCs w:val="20"/>
          <w:color w:val="auto"/>
        </w:rPr>
        <w:t>_______________________ (</w:t>
      </w:r>
      <w:r>
        <w:rPr>
          <w:rFonts w:ascii="Arial" w:cs="Arial" w:eastAsia="Arial" w:hAnsi="Arial"/>
          <w:sz w:val="20"/>
          <w:szCs w:val="20"/>
          <w:i w:val="1"/>
          <w:iCs w:val="1"/>
          <w:color w:val="auto"/>
        </w:rPr>
        <w:t>insert name of Beneficiary (ies))</w:t>
      </w:r>
      <w:r>
        <w:rPr>
          <w:rFonts w:ascii="Arial" w:cs="Arial" w:eastAsia="Arial" w:hAnsi="Arial"/>
          <w:sz w:val="20"/>
          <w:szCs w:val="20"/>
          <w:color w:val="auto"/>
        </w:rPr>
        <w:t xml:space="preserve"> as my</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Beneficiary of the Compensation payable in cash and/or Shares owed to me by the Corporation.</w:t>
      </w:r>
    </w:p>
    <w:p>
      <w:pPr>
        <w:spacing w:after="0" w:line="319" w:lineRule="exact"/>
        <w:rPr>
          <w:sz w:val="20"/>
          <w:szCs w:val="20"/>
          <w:color w:val="auto"/>
        </w:rPr>
      </w:pPr>
    </w:p>
    <w:p>
      <w:pPr>
        <w:ind w:left="900" w:hanging="452"/>
        <w:spacing w:after="0"/>
        <w:tabs>
          <w:tab w:leader="none" w:pos="900" w:val="left"/>
        </w:tabs>
        <w:numPr>
          <w:ilvl w:val="0"/>
          <w:numId w:val="57"/>
        </w:numPr>
        <w:rPr>
          <w:rFonts w:ascii="MS PGothic" w:cs="MS PGothic" w:eastAsia="MS PGothic" w:hAnsi="MS PGothic"/>
          <w:sz w:val="20"/>
          <w:szCs w:val="20"/>
          <w:color w:val="auto"/>
        </w:rPr>
      </w:pPr>
      <w:r>
        <w:rPr>
          <w:rFonts w:ascii="Arial" w:cs="Arial" w:eastAsia="Arial" w:hAnsi="Arial"/>
          <w:sz w:val="20"/>
          <w:szCs w:val="20"/>
          <w:color w:val="auto"/>
        </w:rPr>
        <w:t>_______________________ (</w:t>
      </w:r>
      <w:r>
        <w:rPr>
          <w:rFonts w:ascii="Arial" w:cs="Arial" w:eastAsia="Arial" w:hAnsi="Arial"/>
          <w:sz w:val="20"/>
          <w:szCs w:val="20"/>
          <w:i w:val="1"/>
          <w:iCs w:val="1"/>
          <w:color w:val="auto"/>
        </w:rPr>
        <w:t>insert name of Beneficiary (ies))</w:t>
      </w:r>
      <w:r>
        <w:rPr>
          <w:rFonts w:ascii="Arial" w:cs="Arial" w:eastAsia="Arial" w:hAnsi="Arial"/>
          <w:sz w:val="20"/>
          <w:szCs w:val="20"/>
          <w:color w:val="auto"/>
        </w:rPr>
        <w:t xml:space="preserve"> as my</w:t>
      </w:r>
    </w:p>
    <w:p>
      <w:pPr>
        <w:spacing w:after="0" w:line="18" w:lineRule="exact"/>
        <w:rPr>
          <w:sz w:val="20"/>
          <w:szCs w:val="20"/>
          <w:color w:val="auto"/>
        </w:rPr>
      </w:pPr>
    </w:p>
    <w:p>
      <w:pPr>
        <w:ind w:left="760"/>
        <w:spacing w:after="0" w:line="253" w:lineRule="auto"/>
        <w:rPr>
          <w:sz w:val="20"/>
          <w:szCs w:val="20"/>
          <w:color w:val="auto"/>
        </w:rPr>
      </w:pPr>
      <w:r>
        <w:rPr>
          <w:rFonts w:ascii="Arial" w:cs="Arial" w:eastAsia="Arial" w:hAnsi="Arial"/>
          <w:sz w:val="20"/>
          <w:szCs w:val="20"/>
          <w:color w:val="auto"/>
        </w:rPr>
        <w:t xml:space="preserve">Beneficiary of the Compensation payable in Deferred Share Units owed to me by the Corporation </w:t>
      </w:r>
      <w:r>
        <w:rPr>
          <w:rFonts w:ascii="Arial" w:cs="Arial" w:eastAsia="Arial" w:hAnsi="Arial"/>
          <w:sz w:val="20"/>
          <w:szCs w:val="20"/>
          <w:i w:val="1"/>
          <w:iCs w:val="1"/>
          <w:color w:val="auto"/>
        </w:rPr>
        <w:t>(Beneficiary (ies)</w:t>
      </w:r>
      <w:r>
        <w:rPr>
          <w:rFonts w:ascii="Arial" w:cs="Arial" w:eastAsia="Arial" w:hAnsi="Arial"/>
          <w:sz w:val="20"/>
          <w:szCs w:val="20"/>
          <w:color w:val="auto"/>
        </w:rPr>
        <w:t xml:space="preserve"> </w:t>
      </w:r>
      <w:r>
        <w:rPr>
          <w:rFonts w:ascii="Arial" w:cs="Arial" w:eastAsia="Arial" w:hAnsi="Arial"/>
          <w:sz w:val="20"/>
          <w:szCs w:val="20"/>
          <w:i w:val="1"/>
          <w:iCs w:val="1"/>
          <w:color w:val="auto"/>
        </w:rPr>
        <w:t>must be a dependant or relation of a Director)</w:t>
      </w:r>
      <w:r>
        <w:rPr>
          <w:rFonts w:ascii="Arial" w:cs="Arial" w:eastAsia="Arial" w:hAnsi="Arial"/>
          <w:sz w:val="20"/>
          <w:szCs w:val="20"/>
          <w:color w:val="auto"/>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At my own discretion, I make an additional designation should my Beneficiary not survive me.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 designate as my contingent Beneficiary:</w:t>
      </w:r>
    </w:p>
    <w:p>
      <w:pPr>
        <w:spacing w:after="0" w:line="337" w:lineRule="exact"/>
        <w:rPr>
          <w:sz w:val="20"/>
          <w:szCs w:val="20"/>
          <w:color w:val="auto"/>
        </w:rPr>
      </w:pPr>
    </w:p>
    <w:p>
      <w:pPr>
        <w:ind w:left="760" w:right="2660" w:hanging="312"/>
        <w:spacing w:after="0" w:line="284" w:lineRule="auto"/>
        <w:tabs>
          <w:tab w:leader="none" w:pos="898" w:val="left"/>
        </w:tabs>
        <w:numPr>
          <w:ilvl w:val="0"/>
          <w:numId w:val="58"/>
        </w:numPr>
        <w:rPr>
          <w:rFonts w:ascii="MS PGothic" w:cs="MS PGothic" w:eastAsia="MS PGothic" w:hAnsi="MS PGothic"/>
          <w:sz w:val="19"/>
          <w:szCs w:val="19"/>
          <w:color w:val="auto"/>
        </w:rPr>
      </w:pPr>
      <w:r>
        <w:rPr>
          <w:rFonts w:ascii="Arial" w:cs="Arial" w:eastAsia="Arial" w:hAnsi="Arial"/>
          <w:sz w:val="19"/>
          <w:szCs w:val="19"/>
          <w:color w:val="auto"/>
        </w:rPr>
        <w:t xml:space="preserve">_________________________________ </w:t>
      </w:r>
      <w:r>
        <w:rPr>
          <w:rFonts w:ascii="Arial" w:cs="Arial" w:eastAsia="Arial" w:hAnsi="Arial"/>
          <w:sz w:val="19"/>
          <w:szCs w:val="19"/>
          <w:i w:val="1"/>
          <w:iCs w:val="1"/>
          <w:color w:val="auto"/>
        </w:rPr>
        <w:t>(insert name of contingent Beneficiary)</w:t>
      </w:r>
      <w:r>
        <w:rPr>
          <w:rFonts w:ascii="Arial" w:cs="Arial" w:eastAsia="Arial" w:hAnsi="Arial"/>
          <w:sz w:val="19"/>
          <w:szCs w:val="19"/>
          <w:color w:val="auto"/>
        </w:rPr>
        <w:t xml:space="preserve"> of the Compensation payable in cash and/or Shares owed to me by the Corporation.</w:t>
      </w:r>
    </w:p>
    <w:p>
      <w:pPr>
        <w:spacing w:after="0" w:line="265" w:lineRule="exact"/>
        <w:rPr>
          <w:rFonts w:ascii="MS PGothic" w:cs="MS PGothic" w:eastAsia="MS PGothic" w:hAnsi="MS PGothic"/>
          <w:sz w:val="19"/>
          <w:szCs w:val="19"/>
          <w:color w:val="auto"/>
        </w:rPr>
      </w:pPr>
    </w:p>
    <w:p>
      <w:pPr>
        <w:ind w:left="900" w:hanging="452"/>
        <w:spacing w:after="0"/>
        <w:tabs>
          <w:tab w:leader="none" w:pos="900" w:val="left"/>
        </w:tabs>
        <w:numPr>
          <w:ilvl w:val="0"/>
          <w:numId w:val="58"/>
        </w:numPr>
        <w:rPr>
          <w:rFonts w:ascii="MS PGothic" w:cs="MS PGothic" w:eastAsia="MS PGothic" w:hAnsi="MS PGothic"/>
          <w:sz w:val="20"/>
          <w:szCs w:val="20"/>
          <w:color w:val="auto"/>
        </w:rPr>
      </w:pPr>
      <w:r>
        <w:rPr>
          <w:rFonts w:ascii="Arial" w:cs="Arial" w:eastAsia="Arial" w:hAnsi="Arial"/>
          <w:sz w:val="20"/>
          <w:szCs w:val="20"/>
          <w:color w:val="auto"/>
        </w:rPr>
        <w:t xml:space="preserve">_________________________________ </w:t>
      </w:r>
      <w:r>
        <w:rPr>
          <w:rFonts w:ascii="Arial" w:cs="Arial" w:eastAsia="Arial" w:hAnsi="Arial"/>
          <w:sz w:val="20"/>
          <w:szCs w:val="20"/>
          <w:i w:val="1"/>
          <w:iCs w:val="1"/>
          <w:color w:val="auto"/>
        </w:rPr>
        <w:t>(insert name of contingent Beneficiary)</w:t>
      </w:r>
    </w:p>
    <w:p>
      <w:pPr>
        <w:spacing w:after="0" w:line="18" w:lineRule="exact"/>
        <w:rPr>
          <w:sz w:val="20"/>
          <w:szCs w:val="20"/>
          <w:color w:val="auto"/>
        </w:rPr>
      </w:pPr>
    </w:p>
    <w:p>
      <w:pPr>
        <w:ind w:left="760" w:right="100"/>
        <w:spacing w:after="0" w:line="253" w:lineRule="auto"/>
        <w:rPr>
          <w:sz w:val="20"/>
          <w:szCs w:val="20"/>
          <w:color w:val="auto"/>
        </w:rPr>
      </w:pPr>
      <w:r>
        <w:rPr>
          <w:rFonts w:ascii="Arial" w:cs="Arial" w:eastAsia="Arial" w:hAnsi="Arial"/>
          <w:sz w:val="20"/>
          <w:szCs w:val="20"/>
          <w:color w:val="auto"/>
        </w:rPr>
        <w:t xml:space="preserve">of the Compensation payable in Deferred Share Units owed to me by the Corporation </w:t>
      </w:r>
      <w:r>
        <w:rPr>
          <w:rFonts w:ascii="Arial" w:cs="Arial" w:eastAsia="Arial" w:hAnsi="Arial"/>
          <w:sz w:val="20"/>
          <w:szCs w:val="20"/>
          <w:i w:val="1"/>
          <w:iCs w:val="1"/>
          <w:color w:val="auto"/>
        </w:rPr>
        <w:t>(Beneficiary (ies) must be a</w:t>
      </w:r>
      <w:r>
        <w:rPr>
          <w:rFonts w:ascii="Arial" w:cs="Arial" w:eastAsia="Arial" w:hAnsi="Arial"/>
          <w:sz w:val="20"/>
          <w:szCs w:val="20"/>
          <w:color w:val="auto"/>
        </w:rPr>
        <w:t xml:space="preserve"> </w:t>
      </w:r>
      <w:r>
        <w:rPr>
          <w:rFonts w:ascii="Arial" w:cs="Arial" w:eastAsia="Arial" w:hAnsi="Arial"/>
          <w:sz w:val="20"/>
          <w:szCs w:val="20"/>
          <w:i w:val="1"/>
          <w:iCs w:val="1"/>
          <w:color w:val="auto"/>
        </w:rPr>
        <w:t>dependant or relation of a Director)</w:t>
      </w:r>
      <w:r>
        <w:rPr>
          <w:rFonts w:ascii="Arial" w:cs="Arial" w:eastAsia="Arial" w:hAnsi="Arial"/>
          <w:sz w:val="20"/>
          <w:szCs w:val="20"/>
          <w:color w:val="auto"/>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 make this designation on the _____ day of _______, 20____.</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________________________</w:t>
      </w:r>
    </w:p>
    <w:p>
      <w:pPr>
        <w:spacing w:after="0" w:line="18"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27"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________________________</w:t>
      </w:r>
    </w:p>
    <w:p>
      <w:pPr>
        <w:spacing w:after="0" w:line="18"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Print Name</w:t>
      </w:r>
    </w:p>
    <w:p>
      <w:pPr>
        <w:spacing w:after="0" w:line="346" w:lineRule="exact"/>
        <w:rPr>
          <w:sz w:val="20"/>
          <w:szCs w:val="20"/>
          <w:color w:val="auto"/>
        </w:rPr>
      </w:pPr>
    </w:p>
    <w:p>
      <w:pPr>
        <w:jc w:val="center"/>
        <w:ind w:right="-45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412" w:right="799" w:bottom="1440" w:gutter="0" w:footer="0" w:header="0"/>
        </w:sectPr>
      </w:pPr>
    </w:p>
    <w:bookmarkStart w:id="66" w:name="page67"/>
    <w:bookmarkEnd w:id="66"/>
    <w:p>
      <w:pPr>
        <w:spacing w:after="0"/>
        <w:rPr>
          <w:sz w:val="20"/>
          <w:szCs w:val="20"/>
          <w:color w:val="auto"/>
        </w:rPr>
      </w:pPr>
      <w:r>
        <w:rPr>
          <w:rFonts w:ascii="Arial" w:cs="Arial" w:eastAsia="Arial" w:hAnsi="Arial"/>
          <w:sz w:val="20"/>
          <w:szCs w:val="20"/>
          <w:b w:val="1"/>
          <w:bCs w:val="1"/>
          <w:i w:val="1"/>
          <w:iCs w:val="1"/>
          <w:color w:val="auto"/>
        </w:rPr>
        <w:t>Instructions: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i w:val="1"/>
          <w:iCs w:val="1"/>
          <w:color w:val="auto"/>
        </w:rPr>
        <w:t>This Designation of Beneficiary Form should be completed, signed and delivered to Enbridge Inc. as soon as possible once you have been appointed to the Board of the Corporation. Any changes to the above will require the delivery of an amended form.</w:t>
      </w:r>
    </w:p>
    <w:p>
      <w:pPr>
        <w:spacing w:after="0" w:line="177" w:lineRule="exact"/>
        <w:rPr>
          <w:sz w:val="20"/>
          <w:szCs w:val="20"/>
          <w:color w:val="auto"/>
        </w:rPr>
      </w:pPr>
    </w:p>
    <w:p>
      <w:pPr>
        <w:ind w:right="340"/>
        <w:spacing w:after="0" w:line="282" w:lineRule="auto"/>
        <w:rPr>
          <w:sz w:val="20"/>
          <w:szCs w:val="20"/>
          <w:color w:val="auto"/>
        </w:rPr>
      </w:pPr>
      <w:r>
        <w:rPr>
          <w:rFonts w:ascii="Arial" w:cs="Arial" w:eastAsia="Arial" w:hAnsi="Arial"/>
          <w:sz w:val="20"/>
          <w:szCs w:val="20"/>
          <w:b w:val="1"/>
          <w:bCs w:val="1"/>
          <w:i w:val="1"/>
          <w:iCs w:val="1"/>
          <w:color w:val="auto"/>
        </w:rPr>
        <w:t>In the event that you would like to name a contingent beneficiary, should your primary beneficiary not survive you, please indicate above, a contingent beneficiary.</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 questions regarding your Plan or Form, please call David Taniguchi at (403)508-3156.</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 delivery to Enbridge Inc., please fax your Form to (403) 231-5929.</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4" w:right="4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22.1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Subsidiary Guarantors</w:t>
      </w:r>
    </w:p>
    <w:p>
      <w:pPr>
        <w:spacing w:after="0" w:line="266" w:lineRule="exact"/>
        <w:rPr>
          <w:sz w:val="20"/>
          <w:szCs w:val="20"/>
          <w:color w:val="auto"/>
        </w:rPr>
      </w:pPr>
    </w:p>
    <w:p>
      <w:pPr>
        <w:ind w:right="180"/>
        <w:spacing w:after="0" w:line="300" w:lineRule="auto"/>
        <w:rPr>
          <w:sz w:val="20"/>
          <w:szCs w:val="20"/>
          <w:color w:val="auto"/>
        </w:rPr>
      </w:pPr>
      <w:r>
        <w:rPr>
          <w:rFonts w:ascii="Arial" w:cs="Arial" w:eastAsia="Arial" w:hAnsi="Arial"/>
          <w:sz w:val="18"/>
          <w:szCs w:val="18"/>
          <w:color w:val="auto"/>
        </w:rPr>
        <w:t>As of March 31, 2026, each of the following subsidiaries of Enbridge Inc. (“Enbridge”), both of which are indirect, wholly-owned subsidiaries of Enbridge, has fully and unconditionally guaranteed on an unsecured, joint and several basis, each of the registered debt securities of Enbridge listed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Subsidiary Guarantors</w:t>
      </w:r>
    </w:p>
    <w:p>
      <w:pPr>
        <w:spacing w:after="0" w:line="374" w:lineRule="exact"/>
        <w:rPr>
          <w:sz w:val="20"/>
          <w:szCs w:val="20"/>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Spectra Energy Partners, LP, a Delaware limited partnership</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Enbridge Energy Partners, L.P., a Delaware limited partnership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Registered Debt Securities of Enbridge Guaranteed by each of the Subsidiary Guarantors</w:t>
      </w:r>
    </w:p>
    <w:p>
      <w:pPr>
        <w:spacing w:after="0" w:line="266" w:lineRule="exact"/>
        <w:rPr>
          <w:sz w:val="20"/>
          <w:szCs w:val="20"/>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1.60% Senior Notes due 2026</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5.90% Senior Notes due 2026</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4.25% Senior Notes due 2026</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5.25% Senior Notes due 2027</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3.70% Senior Notes due 2027</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4.60% Senior Notes due 2028</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6.00% Senior Notes due 2028</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4.20% Senior Notes due 2028</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5.30% Senior Notes due 2029</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3.13% Senior Notes due 2029</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4.90% Senior Notes due 2030</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6.20% Senior Notes due 2030</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4.50% Senior Notes due 2031</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4.85% Senior Notes due 2031</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5.70% Sustainability-Linked Senior Notes due 2033</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2.50% Sustainability-Linked Senior Notes due 2033</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5.63% Senior Notes due 2034</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5.55% Senior Notes due 2035</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5.20% Senior Notes due 2035</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5.45% Senior Notes due 2036</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4.50% Senior Notes due 2044</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5.50% Senior Notes due 2046</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4.00% Senior Notes due 2049</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3.40% Senior Notes due 2051</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6.70% Senior Notes due 2053</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5.95% Senior Notes due 2054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b w:val="1"/>
          <w:bCs w:val="1"/>
          <w:color w:val="auto"/>
        </w:rPr>
        <w:t>EXHIBIT 31.1</w:t>
      </w:r>
    </w:p>
    <w:p>
      <w:pPr>
        <w:spacing w:after="0" w:line="196"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CERTIFICATION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I, Gregory L. Ebel, certify that:</w:t>
      </w:r>
    </w:p>
    <w:p>
      <w:pPr>
        <w:spacing w:after="0" w:line="210" w:lineRule="exact"/>
        <w:rPr>
          <w:sz w:val="20"/>
          <w:szCs w:val="20"/>
          <w:color w:val="auto"/>
        </w:rPr>
      </w:pPr>
    </w:p>
    <w:p>
      <w:pPr>
        <w:ind w:left="380" w:hanging="372"/>
        <w:spacing w:after="0"/>
        <w:tabs>
          <w:tab w:leader="none" w:pos="380" w:val="left"/>
        </w:tabs>
        <w:numPr>
          <w:ilvl w:val="0"/>
          <w:numId w:val="61"/>
        </w:numPr>
        <w:rPr>
          <w:rFonts w:ascii="Arial" w:cs="Arial" w:eastAsia="Arial" w:hAnsi="Arial"/>
          <w:sz w:val="18"/>
          <w:szCs w:val="18"/>
          <w:color w:val="auto"/>
        </w:rPr>
      </w:pPr>
      <w:r>
        <w:rPr>
          <w:rFonts w:ascii="Arial" w:cs="Arial" w:eastAsia="Arial" w:hAnsi="Arial"/>
          <w:sz w:val="17"/>
          <w:szCs w:val="17"/>
          <w:color w:val="auto"/>
        </w:rPr>
        <w:t>I have reviewed this quarterly report on Form 10-Q of Enbridge Inc.;</w:t>
      </w:r>
    </w:p>
    <w:p>
      <w:pPr>
        <w:spacing w:after="0" w:line="198" w:lineRule="exact"/>
        <w:rPr>
          <w:rFonts w:ascii="Arial" w:cs="Arial" w:eastAsia="Arial" w:hAnsi="Arial"/>
          <w:sz w:val="18"/>
          <w:szCs w:val="18"/>
          <w:color w:val="auto"/>
        </w:rPr>
      </w:pPr>
    </w:p>
    <w:p>
      <w:pPr>
        <w:jc w:val="both"/>
        <w:ind w:left="380" w:right="100" w:hanging="372"/>
        <w:spacing w:after="0" w:line="250" w:lineRule="auto"/>
        <w:tabs>
          <w:tab w:leader="none" w:pos="380" w:val="left"/>
        </w:tabs>
        <w:numPr>
          <w:ilvl w:val="0"/>
          <w:numId w:val="61"/>
        </w:numPr>
        <w:rPr>
          <w:rFonts w:ascii="Arial" w:cs="Arial" w:eastAsia="Arial" w:hAnsi="Arial"/>
          <w:sz w:val="18"/>
          <w:szCs w:val="18"/>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left="380" w:right="240" w:hanging="372"/>
        <w:spacing w:after="0" w:line="253" w:lineRule="auto"/>
        <w:tabs>
          <w:tab w:leader="none" w:pos="380" w:val="left"/>
        </w:tabs>
        <w:numPr>
          <w:ilvl w:val="0"/>
          <w:numId w:val="61"/>
        </w:numPr>
        <w:rPr>
          <w:rFonts w:ascii="Arial" w:cs="Arial" w:eastAsia="Arial" w:hAnsi="Arial"/>
          <w:sz w:val="18"/>
          <w:szCs w:val="18"/>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ind w:left="380" w:right="140" w:hanging="372"/>
        <w:spacing w:after="0" w:line="243" w:lineRule="auto"/>
        <w:tabs>
          <w:tab w:leader="none" w:pos="380" w:val="left"/>
        </w:tabs>
        <w:numPr>
          <w:ilvl w:val="0"/>
          <w:numId w:val="61"/>
        </w:numPr>
        <w:rPr>
          <w:rFonts w:ascii="Arial" w:cs="Arial" w:eastAsia="Arial" w:hAnsi="Arial"/>
          <w:sz w:val="18"/>
          <w:szCs w:val="18"/>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80"/>
        <w:spacing w:after="0"/>
        <w:rPr>
          <w:rFonts w:ascii="Arial" w:cs="Arial" w:eastAsia="Arial" w:hAnsi="Arial"/>
          <w:sz w:val="18"/>
          <w:szCs w:val="18"/>
          <w:color w:val="auto"/>
        </w:rPr>
      </w:pPr>
      <w:r>
        <w:rPr>
          <w:rFonts w:ascii="Arial" w:cs="Arial" w:eastAsia="Arial" w:hAnsi="Arial"/>
          <w:sz w:val="17"/>
          <w:szCs w:val="17"/>
          <w:color w:val="auto"/>
        </w:rPr>
        <w:t>15d-15(f)) for the registrant and have:</w:t>
      </w:r>
    </w:p>
    <w:p>
      <w:pPr>
        <w:spacing w:after="0" w:line="180" w:lineRule="exact"/>
        <w:rPr>
          <w:rFonts w:ascii="Arial" w:cs="Arial" w:eastAsia="Arial" w:hAnsi="Arial"/>
          <w:sz w:val="18"/>
          <w:szCs w:val="18"/>
          <w:color w:val="auto"/>
        </w:rPr>
      </w:pPr>
    </w:p>
    <w:p>
      <w:pPr>
        <w:ind w:left="760" w:right="260" w:hanging="365"/>
        <w:spacing w:after="0" w:line="258" w:lineRule="auto"/>
        <w:tabs>
          <w:tab w:leader="none" w:pos="778"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Arial" w:cs="Arial" w:eastAsia="Arial" w:hAnsi="Arial"/>
          <w:sz w:val="17"/>
          <w:szCs w:val="17"/>
          <w:color w:val="auto"/>
        </w:rPr>
      </w:pPr>
    </w:p>
    <w:p>
      <w:pPr>
        <w:ind w:left="760" w:right="160" w:hanging="365"/>
        <w:spacing w:after="0" w:line="258" w:lineRule="auto"/>
        <w:tabs>
          <w:tab w:leader="none" w:pos="778"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Arial" w:cs="Arial" w:eastAsia="Arial" w:hAnsi="Arial"/>
          <w:sz w:val="17"/>
          <w:szCs w:val="17"/>
          <w:color w:val="auto"/>
        </w:rPr>
      </w:pPr>
    </w:p>
    <w:p>
      <w:pPr>
        <w:jc w:val="both"/>
        <w:ind w:left="760" w:right="180" w:hanging="365"/>
        <w:spacing w:after="0" w:line="267" w:lineRule="auto"/>
        <w:tabs>
          <w:tab w:leader="none" w:pos="778" w:val="left"/>
        </w:tabs>
        <w:numPr>
          <w:ilvl w:val="1"/>
          <w:numId w:val="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7"/>
          <w:szCs w:val="17"/>
          <w:color w:val="auto"/>
        </w:rPr>
      </w:pPr>
    </w:p>
    <w:p>
      <w:pPr>
        <w:ind w:left="760" w:right="20" w:hanging="365"/>
        <w:spacing w:after="0" w:line="266" w:lineRule="auto"/>
        <w:tabs>
          <w:tab w:leader="none" w:pos="778" w:val="left"/>
        </w:tabs>
        <w:numPr>
          <w:ilvl w:val="1"/>
          <w:numId w:val="6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7"/>
          <w:szCs w:val="17"/>
          <w:color w:val="auto"/>
        </w:rPr>
      </w:pPr>
    </w:p>
    <w:p>
      <w:pPr>
        <w:ind w:left="380" w:right="160" w:hanging="372"/>
        <w:spacing w:after="0" w:line="253" w:lineRule="auto"/>
        <w:tabs>
          <w:tab w:leader="none" w:pos="380" w:val="left"/>
        </w:tabs>
        <w:numPr>
          <w:ilvl w:val="0"/>
          <w:numId w:val="61"/>
        </w:numPr>
        <w:rPr>
          <w:rFonts w:ascii="Arial" w:cs="Arial" w:eastAsia="Arial" w:hAnsi="Arial"/>
          <w:sz w:val="18"/>
          <w:szCs w:val="18"/>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760" w:right="660" w:hanging="365"/>
        <w:spacing w:after="0" w:line="284" w:lineRule="auto"/>
        <w:tabs>
          <w:tab w:leader="none" w:pos="778"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7"/>
          <w:szCs w:val="17"/>
          <w:color w:val="auto"/>
        </w:rPr>
      </w:pPr>
    </w:p>
    <w:p>
      <w:pPr>
        <w:ind w:left="760" w:right="280" w:hanging="365"/>
        <w:spacing w:after="0" w:line="267" w:lineRule="auto"/>
        <w:tabs>
          <w:tab w:leader="none" w:pos="778" w:val="left"/>
        </w:tabs>
        <w:numPr>
          <w:ilvl w:val="1"/>
          <w:numId w:val="6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60"/>
        <w:spacing w:after="0"/>
        <w:tabs>
          <w:tab w:leader="none" w:pos="760" w:val="left"/>
          <w:tab w:leader="none" w:pos="42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 8, 2026</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Gregory L. 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27305</wp:posOffset>
            </wp:positionV>
            <wp:extent cx="66694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69405" cy="8255"/>
                    </a:xfrm>
                    <a:prstGeom prst="rect">
                      <a:avLst/>
                    </a:prstGeom>
                    <a:noFill/>
                  </pic:spPr>
                </pic:pic>
              </a:graphicData>
            </a:graphic>
          </wp:anchor>
        </w:drawing>
      </w:r>
    </w:p>
    <w:p>
      <w:pPr>
        <w:spacing w:after="0" w:line="55"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Gregory L. Ebel</w:t>
      </w:r>
    </w:p>
    <w:p>
      <w:pPr>
        <w:spacing w:after="0" w:line="87"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President and Chief Executive Officer</w:t>
      </w:r>
    </w:p>
    <w:p>
      <w:pPr>
        <w:ind w:left="4620"/>
        <w:spacing w:after="0" w:line="223" w:lineRule="auto"/>
        <w:rPr>
          <w:sz w:val="20"/>
          <w:szCs w:val="20"/>
          <w:color w:val="auto"/>
        </w:rPr>
      </w:pPr>
      <w:r>
        <w:rPr>
          <w:rFonts w:ascii="Arial" w:cs="Arial" w:eastAsia="Arial" w:hAnsi="Arial"/>
          <w:sz w:val="14"/>
          <w:szCs w:val="14"/>
          <w:color w:val="auto"/>
        </w:rPr>
        <w:t>(Principal Executive Officer)</w:t>
      </w:r>
    </w:p>
    <w:p>
      <w:pPr>
        <w:ind w:left="4620"/>
        <w:spacing w:after="0"/>
        <w:rPr>
          <w:sz w:val="20"/>
          <w:szCs w:val="20"/>
          <w:color w:val="auto"/>
        </w:rPr>
      </w:pPr>
      <w:r>
        <w:rPr>
          <w:rFonts w:ascii="Arial" w:cs="Arial" w:eastAsia="Arial" w:hAnsi="Arial"/>
          <w:sz w:val="14"/>
          <w:szCs w:val="14"/>
          <w:color w:val="auto"/>
        </w:rPr>
        <w:t>Enbridge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1039495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7"/>
          <w:szCs w:val="17"/>
          <w:b w:val="1"/>
          <w:bCs w:val="1"/>
          <w:color w:val="auto"/>
        </w:rPr>
        <w:t>EXHIBIT 31.2</w:t>
      </w:r>
    </w:p>
    <w:p>
      <w:pPr>
        <w:spacing w:after="0" w:line="196"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CERTIFICATION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I, Patrick R. Murray, certify that:</w:t>
      </w:r>
    </w:p>
    <w:p>
      <w:pPr>
        <w:spacing w:after="0" w:line="210" w:lineRule="exact"/>
        <w:rPr>
          <w:sz w:val="20"/>
          <w:szCs w:val="20"/>
          <w:color w:val="auto"/>
        </w:rPr>
      </w:pPr>
    </w:p>
    <w:p>
      <w:pPr>
        <w:ind w:left="380" w:hanging="372"/>
        <w:spacing w:after="0"/>
        <w:tabs>
          <w:tab w:leader="none" w:pos="380" w:val="left"/>
        </w:tabs>
        <w:numPr>
          <w:ilvl w:val="0"/>
          <w:numId w:val="62"/>
        </w:numPr>
        <w:rPr>
          <w:rFonts w:ascii="Arial" w:cs="Arial" w:eastAsia="Arial" w:hAnsi="Arial"/>
          <w:sz w:val="18"/>
          <w:szCs w:val="18"/>
          <w:color w:val="auto"/>
        </w:rPr>
      </w:pPr>
      <w:r>
        <w:rPr>
          <w:rFonts w:ascii="Arial" w:cs="Arial" w:eastAsia="Arial" w:hAnsi="Arial"/>
          <w:sz w:val="17"/>
          <w:szCs w:val="17"/>
          <w:color w:val="auto"/>
        </w:rPr>
        <w:t>I have reviewed this quarterly report on Form 10-Q of Enbridge Inc.;</w:t>
      </w:r>
    </w:p>
    <w:p>
      <w:pPr>
        <w:spacing w:after="0" w:line="198" w:lineRule="exact"/>
        <w:rPr>
          <w:rFonts w:ascii="Arial" w:cs="Arial" w:eastAsia="Arial" w:hAnsi="Arial"/>
          <w:sz w:val="18"/>
          <w:szCs w:val="18"/>
          <w:color w:val="auto"/>
        </w:rPr>
      </w:pPr>
    </w:p>
    <w:p>
      <w:pPr>
        <w:jc w:val="both"/>
        <w:ind w:left="380" w:right="100" w:hanging="372"/>
        <w:spacing w:after="0" w:line="250" w:lineRule="auto"/>
        <w:tabs>
          <w:tab w:leader="none" w:pos="380" w:val="left"/>
        </w:tabs>
        <w:numPr>
          <w:ilvl w:val="0"/>
          <w:numId w:val="62"/>
        </w:numPr>
        <w:rPr>
          <w:rFonts w:ascii="Arial" w:cs="Arial" w:eastAsia="Arial" w:hAnsi="Arial"/>
          <w:sz w:val="18"/>
          <w:szCs w:val="18"/>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left="380" w:right="240" w:hanging="372"/>
        <w:spacing w:after="0" w:line="253" w:lineRule="auto"/>
        <w:tabs>
          <w:tab w:leader="none" w:pos="380" w:val="left"/>
        </w:tabs>
        <w:numPr>
          <w:ilvl w:val="0"/>
          <w:numId w:val="62"/>
        </w:numPr>
        <w:rPr>
          <w:rFonts w:ascii="Arial" w:cs="Arial" w:eastAsia="Arial" w:hAnsi="Arial"/>
          <w:sz w:val="18"/>
          <w:szCs w:val="18"/>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ind w:left="380" w:right="140" w:hanging="372"/>
        <w:spacing w:after="0" w:line="243" w:lineRule="auto"/>
        <w:tabs>
          <w:tab w:leader="none" w:pos="380" w:val="left"/>
        </w:tabs>
        <w:numPr>
          <w:ilvl w:val="0"/>
          <w:numId w:val="62"/>
        </w:numPr>
        <w:rPr>
          <w:rFonts w:ascii="Arial" w:cs="Arial" w:eastAsia="Arial" w:hAnsi="Arial"/>
          <w:sz w:val="18"/>
          <w:szCs w:val="18"/>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80"/>
        <w:spacing w:after="0"/>
        <w:rPr>
          <w:rFonts w:ascii="Arial" w:cs="Arial" w:eastAsia="Arial" w:hAnsi="Arial"/>
          <w:sz w:val="18"/>
          <w:szCs w:val="18"/>
          <w:color w:val="auto"/>
        </w:rPr>
      </w:pPr>
      <w:r>
        <w:rPr>
          <w:rFonts w:ascii="Arial" w:cs="Arial" w:eastAsia="Arial" w:hAnsi="Arial"/>
          <w:sz w:val="17"/>
          <w:szCs w:val="17"/>
          <w:color w:val="auto"/>
        </w:rPr>
        <w:t>15d-15(f)) for the registrant and have:</w:t>
      </w:r>
    </w:p>
    <w:p>
      <w:pPr>
        <w:spacing w:after="0" w:line="180" w:lineRule="exact"/>
        <w:rPr>
          <w:rFonts w:ascii="Arial" w:cs="Arial" w:eastAsia="Arial" w:hAnsi="Arial"/>
          <w:sz w:val="18"/>
          <w:szCs w:val="18"/>
          <w:color w:val="auto"/>
        </w:rPr>
      </w:pPr>
    </w:p>
    <w:p>
      <w:pPr>
        <w:ind w:left="760" w:right="260" w:hanging="365"/>
        <w:spacing w:after="0" w:line="258" w:lineRule="auto"/>
        <w:tabs>
          <w:tab w:leader="none" w:pos="778" w:val="left"/>
        </w:tabs>
        <w:numPr>
          <w:ilvl w:val="1"/>
          <w:numId w:val="6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Arial" w:cs="Arial" w:eastAsia="Arial" w:hAnsi="Arial"/>
          <w:sz w:val="17"/>
          <w:szCs w:val="17"/>
          <w:color w:val="auto"/>
        </w:rPr>
      </w:pPr>
    </w:p>
    <w:p>
      <w:pPr>
        <w:ind w:left="760" w:right="160" w:hanging="365"/>
        <w:spacing w:after="0" w:line="258" w:lineRule="auto"/>
        <w:tabs>
          <w:tab w:leader="none" w:pos="778" w:val="left"/>
        </w:tabs>
        <w:numPr>
          <w:ilvl w:val="1"/>
          <w:numId w:val="6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Arial" w:cs="Arial" w:eastAsia="Arial" w:hAnsi="Arial"/>
          <w:sz w:val="17"/>
          <w:szCs w:val="17"/>
          <w:color w:val="auto"/>
        </w:rPr>
      </w:pPr>
    </w:p>
    <w:p>
      <w:pPr>
        <w:jc w:val="both"/>
        <w:ind w:left="760" w:right="180" w:hanging="365"/>
        <w:spacing w:after="0" w:line="267" w:lineRule="auto"/>
        <w:tabs>
          <w:tab w:leader="none" w:pos="778" w:val="left"/>
        </w:tabs>
        <w:numPr>
          <w:ilvl w:val="1"/>
          <w:numId w:val="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7"/>
          <w:szCs w:val="17"/>
          <w:color w:val="auto"/>
        </w:rPr>
      </w:pPr>
    </w:p>
    <w:p>
      <w:pPr>
        <w:ind w:left="760" w:right="20" w:hanging="365"/>
        <w:spacing w:after="0" w:line="266" w:lineRule="auto"/>
        <w:tabs>
          <w:tab w:leader="none" w:pos="778" w:val="left"/>
        </w:tabs>
        <w:numPr>
          <w:ilvl w:val="1"/>
          <w:numId w:val="6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7"/>
          <w:szCs w:val="17"/>
          <w:color w:val="auto"/>
        </w:rPr>
      </w:pPr>
    </w:p>
    <w:p>
      <w:pPr>
        <w:ind w:left="380" w:right="160" w:hanging="372"/>
        <w:spacing w:after="0" w:line="253" w:lineRule="auto"/>
        <w:tabs>
          <w:tab w:leader="none" w:pos="380" w:val="left"/>
        </w:tabs>
        <w:numPr>
          <w:ilvl w:val="0"/>
          <w:numId w:val="62"/>
        </w:numPr>
        <w:rPr>
          <w:rFonts w:ascii="Arial" w:cs="Arial" w:eastAsia="Arial" w:hAnsi="Arial"/>
          <w:sz w:val="18"/>
          <w:szCs w:val="18"/>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760" w:right="660" w:hanging="365"/>
        <w:spacing w:after="0" w:line="284" w:lineRule="auto"/>
        <w:tabs>
          <w:tab w:leader="none" w:pos="778"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7"/>
          <w:szCs w:val="17"/>
          <w:color w:val="auto"/>
        </w:rPr>
      </w:pPr>
    </w:p>
    <w:p>
      <w:pPr>
        <w:ind w:left="760" w:right="280" w:hanging="365"/>
        <w:spacing w:after="0" w:line="267" w:lineRule="auto"/>
        <w:tabs>
          <w:tab w:leader="none" w:pos="778" w:val="left"/>
        </w:tabs>
        <w:numPr>
          <w:ilvl w:val="1"/>
          <w:numId w:val="6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2" w:lineRule="exact"/>
        <w:rPr>
          <w:sz w:val="20"/>
          <w:szCs w:val="20"/>
          <w:color w:val="auto"/>
        </w:rPr>
      </w:pPr>
    </w:p>
    <w:p>
      <w:pPr>
        <w:ind w:left="60"/>
        <w:spacing w:after="0"/>
        <w:tabs>
          <w:tab w:leader="none" w:pos="760" w:val="left"/>
          <w:tab w:leader="none" w:pos="42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 8, 2026</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Patrick R. Murray</w:t>
      </w:r>
    </w:p>
    <w:p>
      <w:pPr>
        <w:spacing w:after="0" w:line="39"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Patrick R.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-121285</wp:posOffset>
            </wp:positionV>
            <wp:extent cx="66694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69405" cy="8255"/>
                    </a:xfrm>
                    <a:prstGeom prst="rect">
                      <a:avLst/>
                    </a:prstGeom>
                    <a:noFill/>
                  </pic:spPr>
                </pic:pic>
              </a:graphicData>
            </a:graphic>
          </wp:anchor>
        </w:drawing>
      </w:r>
    </w:p>
    <w:p>
      <w:pPr>
        <w:spacing w:after="0" w:line="35"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Executive Vice President and Chief Financial Officer</w:t>
      </w:r>
    </w:p>
    <w:p>
      <w:pPr>
        <w:spacing w:after="0" w:line="29"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(Principal Financial Officer)</w:t>
      </w:r>
    </w:p>
    <w:p>
      <w:pPr>
        <w:spacing w:after="0" w:line="15"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Enbridge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jc w:val="both"/>
        <w:ind w:right="220"/>
        <w:spacing w:after="0" w:line="261" w:lineRule="auto"/>
        <w:rPr>
          <w:sz w:val="20"/>
          <w:szCs w:val="20"/>
          <w:color w:val="auto"/>
        </w:rPr>
      </w:pPr>
      <w:r>
        <w:rPr>
          <w:rFonts w:ascii="Arial" w:cs="Arial" w:eastAsia="Arial" w:hAnsi="Arial"/>
          <w:sz w:val="18"/>
          <w:szCs w:val="18"/>
          <w:color w:val="auto"/>
        </w:rPr>
        <w:t>In connection with the quarterly report of Enbridge Inc. on Form 10-Q for the period ending March 31, 2026 as filed with the Securities and Exchange Commission on the date hereof (the “Report”), I, Gregory L. Ebel, President and Chief Executive Officer of Enbridge Inc., certify, pursuant to 18 U.S.C. section 1350, as adopted pursuant to section 906 of the Sarbanes-Oxley Act of 2002, that:</w:t>
      </w:r>
    </w:p>
    <w:p>
      <w:pPr>
        <w:spacing w:after="0" w:line="148" w:lineRule="exact"/>
        <w:rPr>
          <w:sz w:val="20"/>
          <w:szCs w:val="20"/>
          <w:color w:val="auto"/>
        </w:rPr>
      </w:pPr>
    </w:p>
    <w:p>
      <w:pPr>
        <w:ind w:left="760" w:hanging="378"/>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760" w:right="220" w:hanging="378"/>
        <w:spacing w:after="0" w:line="271" w:lineRule="auto"/>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Enbridge Inc.</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tabs>
          <w:tab w:leader="none" w:pos="760" w:val="left"/>
          <w:tab w:leader="none" w:pos="4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8, 2026</w:t>
      </w:r>
      <w:r>
        <w:rPr>
          <w:sz w:val="20"/>
          <w:szCs w:val="20"/>
          <w:color w:val="auto"/>
        </w:rPr>
        <w:tab/>
      </w:r>
      <w:r>
        <w:rPr>
          <w:rFonts w:ascii="Arial" w:cs="Arial" w:eastAsia="Arial" w:hAnsi="Arial"/>
          <w:sz w:val="18"/>
          <w:szCs w:val="18"/>
          <w:color w:val="auto"/>
        </w:rPr>
        <w:t xml:space="preserve">By: </w:t>
      </w:r>
      <w:r>
        <w:rPr>
          <w:rFonts w:ascii="Arial" w:cs="Arial" w:eastAsia="Arial" w:hAnsi="Arial"/>
          <w:sz w:val="18"/>
          <w:szCs w:val="18"/>
          <w:b w:val="1"/>
          <w:bCs w:val="1"/>
          <w:color w:val="auto"/>
        </w:rPr>
        <w:t>/s/ Gregory L. 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17780</wp:posOffset>
            </wp:positionV>
            <wp:extent cx="66694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69405" cy="8255"/>
                    </a:xfrm>
                    <a:prstGeom prst="rect">
                      <a:avLst/>
                    </a:prstGeom>
                    <a:noFill/>
                  </pic:spPr>
                </pic:pic>
              </a:graphicData>
            </a:graphic>
          </wp:anchor>
        </w:drawing>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Gregory L. Ebel</w:t>
      </w:r>
    </w:p>
    <w:p>
      <w:pPr>
        <w:spacing w:after="0" w:line="41"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President and Chief Executive Officer</w:t>
      </w:r>
    </w:p>
    <w:p>
      <w:pPr>
        <w:ind w:left="4620"/>
        <w:spacing w:after="0" w:line="223" w:lineRule="auto"/>
        <w:rPr>
          <w:sz w:val="20"/>
          <w:szCs w:val="20"/>
          <w:color w:val="auto"/>
        </w:rPr>
      </w:pPr>
      <w:r>
        <w:rPr>
          <w:rFonts w:ascii="Arial" w:cs="Arial" w:eastAsia="Arial" w:hAnsi="Arial"/>
          <w:sz w:val="14"/>
          <w:szCs w:val="14"/>
          <w:color w:val="auto"/>
        </w:rPr>
        <w:t>(Principal Executive Officer)</w:t>
      </w:r>
    </w:p>
    <w:p>
      <w:pPr>
        <w:ind w:left="4620"/>
        <w:spacing w:after="0"/>
        <w:rPr>
          <w:sz w:val="20"/>
          <w:szCs w:val="20"/>
          <w:color w:val="auto"/>
        </w:rPr>
      </w:pPr>
      <w:r>
        <w:rPr>
          <w:rFonts w:ascii="Arial" w:cs="Arial" w:eastAsia="Arial" w:hAnsi="Arial"/>
          <w:sz w:val="14"/>
          <w:szCs w:val="14"/>
          <w:color w:val="auto"/>
        </w:rPr>
        <w:t>Enbridge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1159510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 connection with the quarterly report of Enbridge Inc. on Form 10-Q for the period ending March 31, 2026 as filed with the Securities and Exchange Commission on the date hereof (the “Report”), I, Patrick R. Murray, Executive Vice President and Chief Financial Officer of Enbridge Inc., certify, pursuant to 18 U.S.C. section 1350, as adopted pursuant to section 906 of the Sarbanes-Oxley Act of 2002, that:</w:t>
      </w:r>
    </w:p>
    <w:p>
      <w:pPr>
        <w:spacing w:after="0" w:line="148" w:lineRule="exact"/>
        <w:rPr>
          <w:sz w:val="20"/>
          <w:szCs w:val="20"/>
          <w:color w:val="auto"/>
        </w:rPr>
      </w:pPr>
    </w:p>
    <w:p>
      <w:pPr>
        <w:ind w:left="760" w:hanging="378"/>
        <w:spacing w:after="0"/>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760" w:right="220" w:hanging="378"/>
        <w:spacing w:after="0" w:line="271"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Enbridge Inc.</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tabs>
          <w:tab w:leader="none" w:pos="760" w:val="left"/>
          <w:tab w:leader="none" w:pos="42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8, 2026</w:t>
      </w:r>
      <w:r>
        <w:rPr>
          <w:sz w:val="20"/>
          <w:szCs w:val="20"/>
          <w:color w:val="auto"/>
        </w:rPr>
        <w:tab/>
      </w:r>
      <w:r>
        <w:rPr>
          <w:rFonts w:ascii="Arial" w:cs="Arial" w:eastAsia="Arial" w:hAnsi="Arial"/>
          <w:sz w:val="18"/>
          <w:szCs w:val="18"/>
          <w:color w:val="auto"/>
        </w:rPr>
        <w:t xml:space="preserve">By: </w:t>
      </w:r>
      <w:r>
        <w:rPr>
          <w:rFonts w:ascii="Arial" w:cs="Arial" w:eastAsia="Arial" w:hAnsi="Arial"/>
          <w:sz w:val="18"/>
          <w:szCs w:val="18"/>
          <w:b w:val="1"/>
          <w:bCs w:val="1"/>
          <w:color w:val="auto"/>
        </w:rPr>
        <w:t>/s/ Patrick R.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17780</wp:posOffset>
            </wp:positionV>
            <wp:extent cx="66694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69405" cy="8255"/>
                    </a:xfrm>
                    <a:prstGeom prst="rect">
                      <a:avLst/>
                    </a:prstGeom>
                    <a:noFill/>
                  </pic:spPr>
                </pic:pic>
              </a:graphicData>
            </a:graphic>
          </wp:anchor>
        </w:drawing>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Patrick R. Murray</w:t>
      </w:r>
    </w:p>
    <w:p>
      <w:pPr>
        <w:spacing w:after="0" w:line="55"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Executive Vice President and Chief Financial Officer</w:t>
      </w:r>
    </w:p>
    <w:p>
      <w:pPr>
        <w:ind w:left="4580"/>
        <w:spacing w:after="0" w:line="223" w:lineRule="auto"/>
        <w:rPr>
          <w:sz w:val="20"/>
          <w:szCs w:val="20"/>
          <w:color w:val="auto"/>
        </w:rPr>
      </w:pPr>
      <w:r>
        <w:rPr>
          <w:rFonts w:ascii="Arial" w:cs="Arial" w:eastAsia="Arial" w:hAnsi="Arial"/>
          <w:sz w:val="14"/>
          <w:szCs w:val="14"/>
          <w:color w:val="auto"/>
        </w:rPr>
        <w:t>(Principal Financial Officer)</w:t>
      </w:r>
    </w:p>
    <w:p>
      <w:pPr>
        <w:ind w:left="4580"/>
        <w:spacing w:after="0"/>
        <w:rPr>
          <w:sz w:val="20"/>
          <w:szCs w:val="20"/>
          <w:color w:val="auto"/>
        </w:rPr>
      </w:pPr>
      <w:r>
        <w:rPr>
          <w:rFonts w:ascii="Arial" w:cs="Arial" w:eastAsia="Arial" w:hAnsi="Arial"/>
          <w:sz w:val="14"/>
          <w:szCs w:val="14"/>
          <w:color w:val="auto"/>
        </w:rPr>
        <w:t>Enbridge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1056640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bullet"/>
      <w:start w:val="1"/>
    </w:lvl>
  </w:abstractNum>
  <w:abstractNum w:abstractNumId="3">
    <w:nsid w:val="614FD4A1"/>
    <w:multiLevelType w:val="hybridMultilevel"/>
    <w:lvl w:ilvl="0">
      <w:lvlJc w:val="left"/>
      <w:lvlText w:val="1"/>
      <w:numFmt w:val="bullet"/>
      <w:start w:val="1"/>
    </w:lvl>
  </w:abstractNum>
  <w:abstractNum w:abstractNumId="4">
    <w:nsid w:val="419AC241"/>
    <w:multiLevelType w:val="hybridMultilevel"/>
    <w:lvl w:ilvl="0">
      <w:lvlJc w:val="left"/>
      <w:lvlText w:val="1"/>
      <w:numFmt w:val="bullet"/>
      <w:start w:val="1"/>
    </w:lvl>
  </w:abstractNum>
  <w:abstractNum w:abstractNumId="5">
    <w:nsid w:val="5577F8E1"/>
    <w:multiLevelType w:val="hybridMultilevel"/>
    <w:lvl w:ilvl="0">
      <w:lvlJc w:val="left"/>
      <w:lvlText w:val="1"/>
      <w:numFmt w:val="bullet"/>
      <w:start w:val="1"/>
    </w:lvl>
  </w:abstractNum>
  <w:abstractNum w:abstractNumId="6">
    <w:nsid w:val="440BADFC"/>
    <w:multiLevelType w:val="hybridMultilevel"/>
    <w:lvl w:ilvl="0">
      <w:lvlJc w:val="left"/>
      <w:lvlText w:val="3"/>
      <w:numFmt w:val="bullet"/>
      <w:start w:val="1"/>
    </w:lvl>
  </w:abstractNum>
  <w:abstractNum w:abstractNumId="7">
    <w:nsid w:val="5072367"/>
    <w:multiLevelType w:val="hybridMultilevel"/>
    <w:lvl w:ilvl="0">
      <w:lvlJc w:val="left"/>
      <w:lvlText w:val="2"/>
      <w:numFmt w:val="bullet"/>
      <w:start w:val="1"/>
    </w:lvl>
  </w:abstractNum>
  <w:abstractNum w:abstractNumId="8">
    <w:nsid w:val="3804823E"/>
    <w:multiLevelType w:val="hybridMultilevel"/>
    <w:lvl w:ilvl="0">
      <w:lvlJc w:val="left"/>
      <w:lvlText w:val="1"/>
      <w:numFmt w:val="bullet"/>
      <w:start w:val="1"/>
    </w:lvl>
  </w:abstractNum>
  <w:abstractNum w:abstractNumId="9">
    <w:nsid w:val="77465F01"/>
    <w:multiLevelType w:val="hybridMultilevel"/>
    <w:lvl w:ilvl="0">
      <w:lvlJc w:val="left"/>
      <w:lvlText w:val="1"/>
      <w:numFmt w:val="bullet"/>
      <w:start w:val="1"/>
    </w:lvl>
  </w:abstractNum>
  <w:abstractNum w:abstractNumId="10">
    <w:nsid w:val="7724C67E"/>
    <w:multiLevelType w:val="hybridMultilevel"/>
    <w:lvl w:ilvl="0">
      <w:lvlJc w:val="left"/>
      <w:lvlText w:val="1"/>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bullet"/>
      <w:start w:val="1"/>
    </w:lvl>
  </w:abstractNum>
  <w:abstractNum w:abstractNumId="17">
    <w:nsid w:val="153EA438"/>
    <w:multiLevelType w:val="hybridMultilevel"/>
    <w:lvl w:ilvl="0">
      <w:lvlJc w:val="left"/>
      <w:lvlText w:val="3"/>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1"/>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7">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28">
    <w:nsid w:val="542289E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9">
    <w:nsid w:val="6DE91B1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0">
    <w:nsid w:val="38437FD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1">
    <w:nsid w:val="7644A45C"/>
    <w:multiLevelType w:val="hybridMultilevel"/>
    <w:lvl w:ilvl="0">
      <w:lvlJc w:val="left"/>
      <w:lvlText w:val="%1."/>
      <w:numFmt w:val="decimal"/>
      <w:start w:val="8"/>
    </w:lvl>
    <w:lvl w:ilvl="1">
      <w:lvlJc w:val="left"/>
      <w:lvlText w:val="(%2)"/>
      <w:numFmt w:val="lowerLetter"/>
      <w:start w:val="1"/>
    </w:lvl>
  </w:abstractNum>
  <w:abstractNum w:abstractNumId="32">
    <w:nsid w:val="32FFF902"/>
    <w:multiLevelType w:val="hybridMultilevel"/>
    <w:lvl w:ilvl="0">
      <w:lvlJc w:val="left"/>
      <w:lvlText w:val="%1"/>
      <w:numFmt w:val="decimal"/>
      <w:start w:val="1"/>
    </w:lvl>
    <w:lvl w:ilvl="1">
      <w:lvlJc w:val="left"/>
      <w:lvlText w:val="(%2)"/>
      <w:numFmt w:val="lowerLetter"/>
      <w:start w:val="4"/>
    </w:lvl>
  </w:abstractNum>
  <w:abstractNum w:abstractNumId="33">
    <w:nsid w:val="684A481A"/>
    <w:multiLevelType w:val="hybridMultilevel"/>
    <w:lvl w:ilvl="0">
      <w:lvlJc w:val="left"/>
      <w:lvlText w:val="%1."/>
      <w:numFmt w:val="decimal"/>
      <w:start w:val="10"/>
    </w:lvl>
    <w:lvl w:ilvl="1">
      <w:lvlJc w:val="left"/>
      <w:lvlText w:val="%2"/>
      <w:numFmt w:val="lowerLetter"/>
      <w:start w:val="1"/>
    </w:lvl>
  </w:abstractNum>
  <w:abstractNum w:abstractNumId="34">
    <w:nsid w:val="579478FE"/>
    <w:multiLevelType w:val="hybridMultilevel"/>
    <w:lvl w:ilvl="0">
      <w:lvlJc w:val="left"/>
      <w:lvlText w:val="(%1)"/>
      <w:numFmt w:val="lowerLetter"/>
      <w:start w:val="1"/>
    </w:lvl>
    <w:lvl w:ilvl="1">
      <w:lvlJc w:val="left"/>
      <w:lvlText w:val="(%2)"/>
      <w:numFmt w:val="lowerRoman"/>
      <w:start w:val="1"/>
    </w:lvl>
  </w:abstractNum>
  <w:abstractNum w:abstractNumId="35">
    <w:nsid w:val="749ABB4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6">
    <w:nsid w:val="3DC240FB"/>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7">
    <w:nsid w:val="1BA026FA"/>
    <w:multiLevelType w:val="hybridMultilevel"/>
    <w:lvl w:ilvl="0">
      <w:lvlJc w:val="left"/>
      <w:lvlText w:val="%1"/>
      <w:numFmt w:val="lowerLetter"/>
      <w:start w:val="1"/>
    </w:lvl>
    <w:lvl w:ilvl="1">
      <w:lvlJc w:val="left"/>
      <w:lvlText w:val="(%2)"/>
      <w:numFmt w:val="lowerRoman"/>
      <w:start w:val="1"/>
    </w:lvl>
  </w:abstractNum>
  <w:abstractNum w:abstractNumId="38">
    <w:nsid w:val="79A1DEAA"/>
    <w:multiLevelType w:val="hybridMultilevel"/>
    <w:lvl w:ilvl="0">
      <w:lvlJc w:val="left"/>
      <w:lvlText w:val="(%1)"/>
      <w:numFmt w:val="lowerLetter"/>
      <w:start w:val="2"/>
    </w:lvl>
    <w:lvl w:ilvl="1">
      <w:lvlJc w:val="left"/>
      <w:lvlText w:val="%2"/>
      <w:numFmt w:val="lowerRoman"/>
      <w:start w:val="1"/>
    </w:lvl>
  </w:abstractNum>
  <w:abstractNum w:abstractNumId="39">
    <w:nsid w:val="75C6C33A"/>
    <w:multiLevelType w:val="hybridMultilevel"/>
    <w:lvl w:ilvl="0">
      <w:lvlJc w:val="left"/>
      <w:lvlText w:val="(%1)"/>
      <w:numFmt w:val="lowerLetter"/>
      <w:start w:val="4"/>
    </w:lvl>
  </w:abstractNum>
  <w:abstractNum w:abstractNumId="40">
    <w:nsid w:val="12E685FB"/>
    <w:multiLevelType w:val="hybridMultilevel"/>
    <w:lvl w:ilvl="0">
      <w:lvlJc w:val="left"/>
      <w:lvlText w:val="(%1)"/>
      <w:numFmt w:val="lowerRoman"/>
      <w:start w:val="1"/>
    </w:lvl>
  </w:abstractNum>
  <w:abstractNum w:abstractNumId="41">
    <w:nsid w:val="70C6A529"/>
    <w:multiLevelType w:val="hybridMultilevel"/>
    <w:lvl w:ilvl="0">
      <w:lvlJc w:val="left"/>
      <w:lvlText w:val="(%1)"/>
      <w:numFmt w:val="lowerLetter"/>
      <w:start w:val="6"/>
    </w:lvl>
  </w:abstractNum>
  <w:abstractNum w:abstractNumId="42">
    <w:nsid w:val="520EEDD1"/>
    <w:multiLevelType w:val="hybridMultilevel"/>
    <w:lvl w:ilvl="0">
      <w:lvlJc w:val="left"/>
      <w:lvlText w:val="(%1)"/>
      <w:numFmt w:val="lowerRoman"/>
      <w:start w:val="1"/>
    </w:lvl>
  </w:abstractNum>
  <w:abstractNum w:abstractNumId="43">
    <w:nsid w:val="374A3FE6"/>
    <w:multiLevelType w:val="hybridMultilevel"/>
    <w:lvl w:ilvl="0">
      <w:lvlJc w:val="left"/>
      <w:lvlText w:val="%1"/>
      <w:numFmt w:val="lowerLetter"/>
      <w:start w:val="1"/>
    </w:lvl>
    <w:lvl w:ilvl="1">
      <w:lvlJc w:val="left"/>
      <w:lvlText w:val="%2."/>
      <w:numFmt w:val="decimal"/>
      <w:start w:val="1"/>
    </w:lvl>
  </w:abstractNum>
  <w:abstractNum w:abstractNumId="44">
    <w:nsid w:val="4F4EF005"/>
    <w:multiLevelType w:val="hybridMultilevel"/>
    <w:lvl w:ilvl="0">
      <w:lvlJc w:val="left"/>
      <w:lvlText w:val="(%1)"/>
      <w:numFmt w:val="lowerLetter"/>
      <w:start w:val="7"/>
    </w:lvl>
    <w:lvl w:ilvl="1">
      <w:lvlJc w:val="left"/>
      <w:lvlText w:val="%2"/>
      <w:numFmt w:val="decimal"/>
      <w:start w:val="1"/>
    </w:lvl>
  </w:abstractNum>
  <w:abstractNum w:abstractNumId="45">
    <w:nsid w:val="23F9C13C"/>
    <w:multiLevelType w:val="hybridMultilevel"/>
    <w:lvl w:ilvl="0">
      <w:lvlJc w:val="left"/>
      <w:lvlText w:val="%1."/>
      <w:numFmt w:val="decimal"/>
      <w:start w:val="12"/>
    </w:lvl>
  </w:abstractNum>
  <w:abstractNum w:abstractNumId="46">
    <w:nsid w:val="649BB77C"/>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47">
    <w:nsid w:val="275AC794"/>
    <w:multiLevelType w:val="hybridMultilevel"/>
    <w:lvl w:ilvl="0">
      <w:lvlJc w:val="left"/>
      <w:lvlText w:val="%1."/>
      <w:numFmt w:val="decimal"/>
      <w:start w:val="14"/>
    </w:lvl>
  </w:abstractNum>
  <w:abstractNum w:abstractNumId="48">
    <w:nsid w:val="39386575"/>
    <w:multiLevelType w:val="hybridMultilevel"/>
    <w:lvl w:ilvl="0">
      <w:lvlJc w:val="left"/>
      <w:lvlText w:val="%1"/>
      <w:numFmt w:val="decimal"/>
      <w:start w:val="1"/>
    </w:lvl>
    <w:lvl w:ilvl="1">
      <w:lvlJc w:val="left"/>
      <w:lvlText w:val="(%2)"/>
      <w:numFmt w:val="lowerLetter"/>
      <w:start w:val="1"/>
    </w:lvl>
  </w:abstractNum>
  <w:abstractNum w:abstractNumId="49">
    <w:nsid w:val="1CF10FD8"/>
    <w:multiLevelType w:val="hybridMultilevel"/>
    <w:lvl w:ilvl="0">
      <w:lvlJc w:val="left"/>
      <w:lvlText w:val="%1."/>
      <w:numFmt w:val="decimal"/>
      <w:start w:val="17"/>
    </w:lvl>
    <w:lvl w:ilvl="1">
      <w:lvlJc w:val="left"/>
      <w:lvlText w:val="%2"/>
      <w:numFmt w:val="lowerLetter"/>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1"/>
    </w:lvl>
  </w:abstractNum>
  <w:abstractNum w:abstractNumId="52">
    <w:nsid w:val="47398C89"/>
    <w:multiLevelType w:val="hybridMultilevel"/>
    <w:lvl w:ilvl="0">
      <w:lvlJc w:val="left"/>
      <w:lvlText w:val="%1."/>
      <w:numFmt w:val="decimal"/>
      <w:start w:val="2"/>
    </w:lvl>
  </w:abstractNum>
  <w:abstractNum w:abstractNumId="53">
    <w:nsid w:val="354FE9F9"/>
    <w:multiLevelType w:val="hybridMultilevel"/>
    <w:lvl w:ilvl="0">
      <w:lvlJc w:val="left"/>
      <w:lvlText w:val="%1."/>
      <w:numFmt w:val="decimal"/>
      <w:start w:val="3"/>
    </w:lvl>
  </w:abstractNum>
  <w:abstractNum w:abstractNumId="54">
    <w:nsid w:val="15B5AF5C"/>
    <w:multiLevelType w:val="hybridMultilevel"/>
    <w:lvl w:ilvl="0">
      <w:lvlJc w:val="left"/>
      <w:lvlText w:val="%1."/>
      <w:numFmt w:val="decimal"/>
      <w:start w:val="4"/>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2026-05-08T06:09:56Z</dcterms:created>
  <dcterms:modified xsi:type="dcterms:W3CDTF">2026-05-08T06:09:56Z</dcterms:modified>
</cp:coreProperties>
</file>